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325C" w14:textId="77777777" w:rsidR="00165E7C" w:rsidRDefault="00165E7C" w:rsidP="00165E7C">
      <w:pPr>
        <w:pStyle w:val="Titolo2"/>
        <w:tabs>
          <w:tab w:val="left" w:pos="2700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4B761D" wp14:editId="69284F32">
            <wp:simplePos x="0" y="0"/>
            <wp:positionH relativeFrom="column">
              <wp:posOffset>1828341</wp:posOffset>
            </wp:positionH>
            <wp:positionV relativeFrom="paragraph">
              <wp:posOffset>-172456</wp:posOffset>
            </wp:positionV>
            <wp:extent cx="2476870" cy="1067944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70" cy="106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AE9F6" w14:textId="77777777" w:rsidR="00165E7C" w:rsidRDefault="00165E7C" w:rsidP="00165E7C">
      <w:pPr>
        <w:pStyle w:val="Titolo2"/>
        <w:tabs>
          <w:tab w:val="left" w:pos="2700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34EE43A1" w14:textId="77777777" w:rsidR="00165E7C" w:rsidRDefault="00165E7C" w:rsidP="00165E7C">
      <w:pPr>
        <w:pStyle w:val="Titolo2"/>
        <w:tabs>
          <w:tab w:val="left" w:pos="2700"/>
        </w:tabs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33A55959" w14:textId="77777777" w:rsidR="00165E7C" w:rsidRDefault="00165E7C" w:rsidP="00165E7C">
      <w:pPr>
        <w:jc w:val="center"/>
        <w:rPr>
          <w:b/>
          <w:bCs/>
          <w:color w:val="000000"/>
          <w:shd w:val="clear" w:color="auto" w:fill="FFFFFF"/>
        </w:rPr>
      </w:pPr>
    </w:p>
    <w:p w14:paraId="696172D9" w14:textId="4A7325C1" w:rsidR="00165E7C" w:rsidRDefault="00165E7C" w:rsidP="00165E7C">
      <w:pPr>
        <w:jc w:val="center"/>
        <w:rPr>
          <w:b/>
          <w:bCs/>
          <w:color w:val="000000"/>
          <w:shd w:val="clear" w:color="auto" w:fill="FFFFFF"/>
        </w:rPr>
      </w:pPr>
    </w:p>
    <w:p w14:paraId="3E7C28DE" w14:textId="3C3898A0" w:rsidR="00165E7C" w:rsidRDefault="00165E7C" w:rsidP="00165E7C">
      <w:pPr>
        <w:jc w:val="center"/>
        <w:rPr>
          <w:b/>
          <w:bCs/>
          <w:color w:val="000000"/>
          <w:shd w:val="clear" w:color="auto" w:fill="FFFFFF"/>
        </w:rPr>
      </w:pPr>
    </w:p>
    <w:p w14:paraId="62441301" w14:textId="77777777" w:rsidR="00165E7C" w:rsidRDefault="00165E7C" w:rsidP="00165E7C">
      <w:pPr>
        <w:jc w:val="center"/>
        <w:rPr>
          <w:b/>
          <w:bCs/>
          <w:color w:val="000000"/>
          <w:shd w:val="clear" w:color="auto" w:fill="FFFFFF"/>
        </w:rPr>
      </w:pPr>
    </w:p>
    <w:p w14:paraId="5A7FEA46" w14:textId="39B4317B" w:rsidR="00165E7C" w:rsidRPr="00EA3EC7" w:rsidRDefault="00165E7C" w:rsidP="004629CC">
      <w:pPr>
        <w:jc w:val="center"/>
        <w:rPr>
          <w:b/>
          <w:bCs/>
        </w:rPr>
      </w:pPr>
      <w:r w:rsidRPr="00EA3EC7">
        <w:rPr>
          <w:b/>
          <w:bCs/>
          <w:color w:val="000000"/>
          <w:shd w:val="clear" w:color="auto" w:fill="FFFFFF"/>
        </w:rPr>
        <w:t>DIREZIONE GENE</w:t>
      </w:r>
      <w:r>
        <w:rPr>
          <w:b/>
          <w:bCs/>
          <w:color w:val="000000"/>
          <w:shd w:val="clear" w:color="auto" w:fill="FFFFFF"/>
        </w:rPr>
        <w:t>RALE DELLA PROGRAMMAZIONE SANITARIA</w:t>
      </w:r>
    </w:p>
    <w:p w14:paraId="6233CE26" w14:textId="77777777" w:rsidR="00803395" w:rsidRPr="002E6DAF" w:rsidRDefault="00803395" w:rsidP="00564623">
      <w:pPr>
        <w:ind w:left="284" w:right="638"/>
        <w:jc w:val="both"/>
        <w:rPr>
          <w:b/>
          <w:bCs/>
          <w:sz w:val="22"/>
          <w:szCs w:val="22"/>
        </w:rPr>
      </w:pPr>
    </w:p>
    <w:p w14:paraId="54ADF055" w14:textId="77777777" w:rsidR="00765B4C" w:rsidRPr="00355B46" w:rsidRDefault="00765B4C" w:rsidP="00564623">
      <w:pPr>
        <w:ind w:left="284" w:right="566" w:hanging="284"/>
        <w:jc w:val="both"/>
        <w:rPr>
          <w:rFonts w:eastAsia="Calibri"/>
          <w:b/>
          <w:sz w:val="22"/>
          <w:szCs w:val="22"/>
          <w:lang w:eastAsia="en-US"/>
        </w:rPr>
      </w:pPr>
    </w:p>
    <w:p w14:paraId="55EE72C9" w14:textId="05363B22" w:rsidR="00343A0A" w:rsidRPr="00C4534E" w:rsidRDefault="00277B93" w:rsidP="00564623">
      <w:pPr>
        <w:ind w:right="566"/>
        <w:jc w:val="both"/>
        <w:rPr>
          <w:rFonts w:eastAsia="Calibri"/>
          <w:b/>
          <w:sz w:val="22"/>
          <w:szCs w:val="22"/>
          <w:lang w:eastAsia="en-US"/>
        </w:rPr>
      </w:pPr>
      <w:r w:rsidRPr="00355B46">
        <w:rPr>
          <w:rFonts w:eastAsia="Calibri"/>
          <w:b/>
          <w:sz w:val="22"/>
          <w:szCs w:val="22"/>
          <w:lang w:eastAsia="en-US"/>
        </w:rPr>
        <w:t>OGGETTO</w:t>
      </w:r>
      <w:r w:rsidR="00F31A7C">
        <w:rPr>
          <w:rFonts w:eastAsia="Calibri"/>
          <w:b/>
          <w:sz w:val="22"/>
          <w:szCs w:val="22"/>
          <w:lang w:eastAsia="en-US"/>
        </w:rPr>
        <w:t xml:space="preserve">: </w:t>
      </w:r>
      <w:r w:rsidR="00A172CF" w:rsidRPr="00A172CF">
        <w:rPr>
          <w:rFonts w:eastAsia="Calibri"/>
          <w:sz w:val="22"/>
          <w:szCs w:val="22"/>
          <w:lang w:eastAsia="en-US"/>
        </w:rPr>
        <w:t>Provvedimento Generale di Programmazione della Rete Ospedaliera Regio</w:t>
      </w:r>
      <w:r w:rsidR="00A172CF">
        <w:rPr>
          <w:rFonts w:eastAsia="Calibri"/>
          <w:sz w:val="22"/>
          <w:szCs w:val="22"/>
          <w:lang w:eastAsia="en-US"/>
        </w:rPr>
        <w:t>nale ai sensi del D.M. 70/2015 “Allineamento alla DGR 212/2016”</w:t>
      </w:r>
      <w:r w:rsidR="00C4534E">
        <w:rPr>
          <w:rFonts w:eastAsia="Calibri"/>
          <w:sz w:val="22"/>
          <w:szCs w:val="22"/>
          <w:lang w:eastAsia="en-US"/>
        </w:rPr>
        <w:t xml:space="preserve"> _ </w:t>
      </w:r>
      <w:r w:rsidR="00C4534E" w:rsidRPr="00C4534E">
        <w:rPr>
          <w:rFonts w:eastAsia="Calibri"/>
          <w:b/>
          <w:sz w:val="22"/>
          <w:szCs w:val="22"/>
          <w:lang w:eastAsia="en-US"/>
        </w:rPr>
        <w:t>MONITORAGGIO DELLA RETE OSPEDALIERA</w:t>
      </w:r>
    </w:p>
    <w:p w14:paraId="24A25BB0" w14:textId="77777777" w:rsidR="00A172CF" w:rsidRPr="00C4534E" w:rsidRDefault="00A172CF" w:rsidP="00564623">
      <w:pPr>
        <w:ind w:left="284" w:right="566" w:hanging="284"/>
        <w:jc w:val="both"/>
        <w:rPr>
          <w:b/>
          <w:sz w:val="22"/>
          <w:szCs w:val="22"/>
        </w:rPr>
      </w:pPr>
    </w:p>
    <w:p w14:paraId="77E18E54" w14:textId="77777777" w:rsidR="00806BB1" w:rsidRPr="00C4534E" w:rsidRDefault="00806BB1" w:rsidP="00564623">
      <w:pPr>
        <w:ind w:left="284" w:right="566" w:hanging="284"/>
        <w:jc w:val="both"/>
        <w:rPr>
          <w:b/>
          <w:sz w:val="22"/>
          <w:szCs w:val="22"/>
        </w:rPr>
      </w:pPr>
    </w:p>
    <w:p w14:paraId="1F014D37" w14:textId="5905BA73" w:rsidR="00277B93" w:rsidRPr="00355B46" w:rsidRDefault="00277B93" w:rsidP="00564623">
      <w:pPr>
        <w:ind w:left="284" w:right="566" w:hanging="284"/>
        <w:jc w:val="both"/>
        <w:rPr>
          <w:b/>
          <w:sz w:val="22"/>
          <w:szCs w:val="22"/>
        </w:rPr>
      </w:pPr>
      <w:r w:rsidRPr="00355B46">
        <w:rPr>
          <w:b/>
          <w:sz w:val="22"/>
          <w:szCs w:val="22"/>
        </w:rPr>
        <w:t xml:space="preserve">PARERE UFFICIO </w:t>
      </w:r>
      <w:r w:rsidR="00630FDA" w:rsidRPr="00355B46">
        <w:rPr>
          <w:b/>
          <w:sz w:val="22"/>
          <w:szCs w:val="22"/>
        </w:rPr>
        <w:t>3</w:t>
      </w:r>
      <w:r w:rsidRPr="00355B46">
        <w:rPr>
          <w:b/>
          <w:sz w:val="22"/>
          <w:szCs w:val="22"/>
        </w:rPr>
        <w:t xml:space="preserve"> DGPROG</w:t>
      </w:r>
    </w:p>
    <w:p w14:paraId="21771C1D" w14:textId="77777777" w:rsidR="00803395" w:rsidRDefault="00803395" w:rsidP="00564623">
      <w:pPr>
        <w:spacing w:line="259" w:lineRule="auto"/>
        <w:ind w:firstLine="709"/>
        <w:jc w:val="both"/>
        <w:rPr>
          <w:sz w:val="22"/>
          <w:szCs w:val="22"/>
        </w:rPr>
      </w:pPr>
    </w:p>
    <w:p w14:paraId="55D99DF5" w14:textId="617603F2" w:rsidR="00564623" w:rsidRDefault="00630FDA" w:rsidP="00564623">
      <w:pPr>
        <w:pStyle w:val="Default"/>
        <w:jc w:val="both"/>
        <w:rPr>
          <w:bCs/>
          <w:sz w:val="22"/>
          <w:szCs w:val="22"/>
        </w:rPr>
      </w:pPr>
      <w:r w:rsidRPr="00C51DEF">
        <w:rPr>
          <w:sz w:val="22"/>
          <w:szCs w:val="22"/>
        </w:rPr>
        <w:t xml:space="preserve">La </w:t>
      </w:r>
      <w:r w:rsidR="00D16C0A" w:rsidRPr="00C51DEF">
        <w:rPr>
          <w:sz w:val="22"/>
          <w:szCs w:val="22"/>
        </w:rPr>
        <w:t>R</w:t>
      </w:r>
      <w:r w:rsidRPr="00C51DEF">
        <w:rPr>
          <w:sz w:val="22"/>
          <w:szCs w:val="22"/>
        </w:rPr>
        <w:t>egione</w:t>
      </w:r>
      <w:r w:rsidR="0052669C" w:rsidRPr="00C51DEF">
        <w:rPr>
          <w:sz w:val="22"/>
          <w:szCs w:val="22"/>
        </w:rPr>
        <w:t xml:space="preserve"> </w:t>
      </w:r>
      <w:r w:rsidR="00A172CF" w:rsidRPr="00C51DEF">
        <w:rPr>
          <w:sz w:val="22"/>
          <w:szCs w:val="22"/>
        </w:rPr>
        <w:t>Umbria</w:t>
      </w:r>
      <w:r w:rsidRPr="00C51DEF">
        <w:rPr>
          <w:sz w:val="22"/>
          <w:szCs w:val="22"/>
        </w:rPr>
        <w:t xml:space="preserve">, </w:t>
      </w:r>
      <w:r w:rsidR="00A172CF" w:rsidRPr="00C51DEF">
        <w:rPr>
          <w:sz w:val="22"/>
          <w:szCs w:val="22"/>
        </w:rPr>
        <w:t xml:space="preserve">trasmette tramite </w:t>
      </w:r>
      <w:r w:rsidR="00564623" w:rsidRPr="00C51DEF">
        <w:rPr>
          <w:sz w:val="22"/>
          <w:szCs w:val="22"/>
        </w:rPr>
        <w:t>PEC</w:t>
      </w:r>
      <w:r w:rsidR="00A172CF" w:rsidRPr="00C51DEF">
        <w:rPr>
          <w:sz w:val="22"/>
          <w:szCs w:val="22"/>
        </w:rPr>
        <w:t xml:space="preserve"> prot. 0019506-20/11/2023-GAB-GAB-A il documento di “Allineamento alla DGR 212/2016”</w:t>
      </w:r>
      <w:r w:rsidR="00C51DEF" w:rsidRPr="00C51DEF">
        <w:rPr>
          <w:sz w:val="22"/>
          <w:szCs w:val="22"/>
        </w:rPr>
        <w:t xml:space="preserve">, </w:t>
      </w:r>
      <w:r w:rsidR="00165E7C" w:rsidRPr="00C51DEF">
        <w:rPr>
          <w:sz w:val="22"/>
          <w:szCs w:val="22"/>
        </w:rPr>
        <w:t>nell’ambito del</w:t>
      </w:r>
      <w:r w:rsidR="00165E7C" w:rsidRPr="00C51DEF">
        <w:rPr>
          <w:bCs/>
          <w:sz w:val="22"/>
          <w:szCs w:val="22"/>
        </w:rPr>
        <w:t xml:space="preserve"> monitoraggio dell’attuazione della DGR 212/2016 e l’attivazione dei posti letto ai sensi del D.L. 34/2020</w:t>
      </w:r>
      <w:r w:rsidR="00564623" w:rsidRPr="00C51DEF">
        <w:rPr>
          <w:bCs/>
          <w:sz w:val="22"/>
          <w:szCs w:val="22"/>
        </w:rPr>
        <w:t>.</w:t>
      </w:r>
    </w:p>
    <w:p w14:paraId="24729B33" w14:textId="6CD20F51" w:rsidR="00564623" w:rsidRDefault="00564623" w:rsidP="0056462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 il presente </w:t>
      </w:r>
      <w:r w:rsidR="004629CC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ocumento la regione cristallizza il livello di implementazione della DGR 212/2016 allo stato attuale garantendo, contestualmente, una razionalizzazione del</w:t>
      </w:r>
      <w:r w:rsidR="00165E7C" w:rsidRPr="00165E7C">
        <w:rPr>
          <w:bCs/>
          <w:sz w:val="22"/>
          <w:szCs w:val="22"/>
        </w:rPr>
        <w:t xml:space="preserve">la rete ospedaliera </w:t>
      </w:r>
      <w:r>
        <w:rPr>
          <w:bCs/>
          <w:sz w:val="22"/>
          <w:szCs w:val="22"/>
        </w:rPr>
        <w:t>approvata, portando alla riduzione delle UU.OO.CC. in esubero, chiusura di un PS sub standard e introducendo il</w:t>
      </w:r>
      <w:r w:rsidRPr="00564623">
        <w:rPr>
          <w:bCs/>
          <w:sz w:val="22"/>
          <w:szCs w:val="22"/>
        </w:rPr>
        <w:t xml:space="preserve"> </w:t>
      </w:r>
      <w:r w:rsidRPr="00165E7C">
        <w:rPr>
          <w:bCs/>
          <w:sz w:val="22"/>
          <w:szCs w:val="22"/>
        </w:rPr>
        <w:t>Terzo Polo Ospedaliero</w:t>
      </w:r>
      <w:r>
        <w:rPr>
          <w:bCs/>
          <w:sz w:val="22"/>
          <w:szCs w:val="22"/>
        </w:rPr>
        <w:t>, elemento di novità rispetto alla 212/2016, ma in linea con la riduzione delle discipline in esubero e la semplificazione della rete dell’emergenza urgenza.</w:t>
      </w:r>
    </w:p>
    <w:p w14:paraId="6F1D012C" w14:textId="46C2D890" w:rsidR="00564623" w:rsidRDefault="00564623" w:rsidP="00564623">
      <w:pPr>
        <w:pStyle w:val="Default"/>
        <w:jc w:val="both"/>
        <w:rPr>
          <w:bCs/>
          <w:sz w:val="22"/>
          <w:szCs w:val="22"/>
        </w:rPr>
      </w:pPr>
    </w:p>
    <w:p w14:paraId="3BFAF596" w14:textId="0765865C" w:rsidR="00564623" w:rsidRDefault="00564623" w:rsidP="0056462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seguito dettaglio </w:t>
      </w:r>
      <w:r w:rsidR="00C4534E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>sintesi delle evidenz</w:t>
      </w:r>
      <w:r w:rsidR="00C4534E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dell’attività di implementazione della DGR 212/2016</w:t>
      </w:r>
      <w:r w:rsidR="004629CC">
        <w:rPr>
          <w:bCs/>
          <w:sz w:val="22"/>
          <w:szCs w:val="22"/>
        </w:rPr>
        <w:t>.</w:t>
      </w:r>
    </w:p>
    <w:p w14:paraId="78D7A6E3" w14:textId="77777777" w:rsidR="007D103B" w:rsidRDefault="007D103B" w:rsidP="00564623">
      <w:pPr>
        <w:pStyle w:val="Default"/>
        <w:jc w:val="both"/>
        <w:rPr>
          <w:bCs/>
          <w:sz w:val="22"/>
          <w:szCs w:val="22"/>
        </w:rPr>
      </w:pPr>
    </w:p>
    <w:p w14:paraId="66A08E10" w14:textId="730BC057" w:rsidR="00C56416" w:rsidRDefault="00C56416" w:rsidP="0056462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Riduzione a livello Regionale di 20 UOC complessive, che passano da 176 a 156 totali,</w:t>
      </w:r>
      <w:r w:rsidR="00564623">
        <w:rPr>
          <w:sz w:val="23"/>
          <w:szCs w:val="23"/>
        </w:rPr>
        <w:t xml:space="preserve"> </w:t>
      </w:r>
      <w:r>
        <w:rPr>
          <w:sz w:val="23"/>
          <w:szCs w:val="23"/>
        </w:rPr>
        <w:t>come segue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90"/>
        <w:gridCol w:w="860"/>
        <w:gridCol w:w="860"/>
        <w:gridCol w:w="960"/>
        <w:gridCol w:w="1340"/>
        <w:gridCol w:w="1701"/>
      </w:tblGrid>
      <w:tr w:rsidR="00564623" w:rsidRPr="00C56416" w14:paraId="55D366FA" w14:textId="77777777" w:rsidTr="0056462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13BB7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Cod. disciplina P.L.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CD7A3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Descrizione disciplina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9614F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Bacini di utenza (da D.M. 70/2015)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8BCF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U.O.C. DGR 212/2016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F3D8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U.O.C. ALLINEAMENTO ALLA DGR 212/2016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289470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DELTA U.O.C. da DGR 212/2016</w:t>
            </w:r>
          </w:p>
        </w:tc>
      </w:tr>
      <w:tr w:rsidR="00564623" w:rsidRPr="00C56416" w14:paraId="4B8DC5C3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AFB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7E0C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CARDIOLOGIA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B68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81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D6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B8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12C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</w:tc>
      </w:tr>
      <w:tr w:rsidR="00564623" w:rsidRPr="00C56416" w14:paraId="32A940B6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AD33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39D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CHIRURGIA GENERALE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F5C6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2C1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FD3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5B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738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</w:p>
        </w:tc>
      </w:tr>
      <w:tr w:rsidR="00564623" w:rsidRPr="00C56416" w14:paraId="296BADD0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BD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7334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GASTROENTEROLOGIA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03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ED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A2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D4A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6AEC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</w:p>
        </w:tc>
      </w:tr>
      <w:tr w:rsidR="00564623" w:rsidRPr="00C56416" w14:paraId="28EEF2C4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4F2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0BB0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MEDICINA GENERALE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543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944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F60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543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E9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</w:tc>
      </w:tr>
      <w:tr w:rsidR="00564623" w:rsidRPr="00C56416" w14:paraId="517A6B88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DC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127C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NEONATOLOGIA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9AB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12B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D33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B9D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E5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</w:tc>
      </w:tr>
      <w:tr w:rsidR="00564623" w:rsidRPr="00C56416" w14:paraId="578E9650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2802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D0A8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NEUROLOGIA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782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DF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2F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7AC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AAE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</w:tc>
      </w:tr>
      <w:tr w:rsidR="00564623" w:rsidRPr="00C56416" w14:paraId="75B926DE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ADD4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48A6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ONCOLOGIA (CON POSTI </w:t>
            </w:r>
            <w:proofErr w:type="gramStart"/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LETTO)   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FB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BFB6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306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34F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747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</w:tc>
      </w:tr>
      <w:tr w:rsidR="00564623" w:rsidRPr="00C56416" w14:paraId="196A4AB8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806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F53D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ORTOPEDIA E TRAUMATOLOGIA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70E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B2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7B1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B38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CD8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</w:p>
        </w:tc>
      </w:tr>
      <w:tr w:rsidR="00564623" w:rsidRPr="00C56416" w14:paraId="00E90F20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734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E0D4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RADIOTERAPIA ONCOLOGICA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F8C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3B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ED74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79B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8E53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</w:tc>
      </w:tr>
      <w:tr w:rsidR="00564623" w:rsidRPr="00C56416" w14:paraId="54970956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E6C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42C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DIREZIONE SANITARIA DI PRESIDIO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2C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3B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9B1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104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7B7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</w:tc>
      </w:tr>
      <w:tr w:rsidR="00564623" w:rsidRPr="00C56416" w14:paraId="05E2C3BB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ADC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42C1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RADIOLOGIA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EDE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2CD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2D22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0C5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34D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-3</w:t>
            </w:r>
          </w:p>
        </w:tc>
      </w:tr>
      <w:tr w:rsidR="00564623" w:rsidRPr="00C56416" w14:paraId="46E72CB1" w14:textId="77777777" w:rsidTr="005646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13F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1313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TERAPIA DEL DOLORE (SENZA POSTI LETTO) (2)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D09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A00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54F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28FF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B8D" w14:textId="77777777" w:rsidR="00564623" w:rsidRPr="00C56416" w:rsidRDefault="00564623" w:rsidP="0056462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6416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</w:tc>
      </w:tr>
    </w:tbl>
    <w:p w14:paraId="2C7907F5" w14:textId="77777777" w:rsidR="00C56416" w:rsidRDefault="00C56416" w:rsidP="00564623">
      <w:pPr>
        <w:pStyle w:val="Default"/>
        <w:ind w:left="720"/>
        <w:jc w:val="both"/>
        <w:rPr>
          <w:sz w:val="23"/>
          <w:szCs w:val="23"/>
        </w:rPr>
      </w:pPr>
    </w:p>
    <w:p w14:paraId="55094122" w14:textId="76C45FEA" w:rsidR="007D103B" w:rsidRDefault="00C56416" w:rsidP="00564623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17E1881" w14:textId="385FC3C9" w:rsidR="00C61189" w:rsidRDefault="00C61189" w:rsidP="0056462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Utilizzo degli stessi presidi dell’approvata DGR 212/2016 con </w:t>
      </w:r>
      <w:r w:rsidR="00071F44">
        <w:rPr>
          <w:sz w:val="23"/>
          <w:szCs w:val="23"/>
        </w:rPr>
        <w:t xml:space="preserve">esplicitazione delle </w:t>
      </w:r>
      <w:r>
        <w:rPr>
          <w:sz w:val="23"/>
          <w:szCs w:val="23"/>
        </w:rPr>
        <w:t xml:space="preserve">mission </w:t>
      </w:r>
      <w:r w:rsidR="00071F44">
        <w:rPr>
          <w:sz w:val="23"/>
          <w:szCs w:val="23"/>
        </w:rPr>
        <w:t>e chiarendo i collegamenti con le altre St</w:t>
      </w:r>
      <w:r>
        <w:rPr>
          <w:sz w:val="23"/>
          <w:szCs w:val="23"/>
        </w:rPr>
        <w:t>rutture</w:t>
      </w:r>
      <w:r w:rsidR="00071F44">
        <w:rPr>
          <w:sz w:val="23"/>
          <w:szCs w:val="23"/>
        </w:rPr>
        <w:t xml:space="preserve"> della rete</w:t>
      </w:r>
    </w:p>
    <w:p w14:paraId="2E0C1822" w14:textId="77777777" w:rsidR="007D103B" w:rsidRDefault="007D103B" w:rsidP="00564623">
      <w:pPr>
        <w:pStyle w:val="Default"/>
        <w:ind w:left="720"/>
        <w:jc w:val="both"/>
        <w:rPr>
          <w:sz w:val="23"/>
          <w:szCs w:val="23"/>
        </w:rPr>
      </w:pPr>
    </w:p>
    <w:p w14:paraId="091CE78F" w14:textId="58F481D0" w:rsidR="00C61189" w:rsidRDefault="00C61189" w:rsidP="0056462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Stessa dotazione di posti letto</w:t>
      </w:r>
      <w:r w:rsidR="00071F44">
        <w:rPr>
          <w:sz w:val="23"/>
          <w:szCs w:val="23"/>
        </w:rPr>
        <w:t xml:space="preserve"> TOTALI</w:t>
      </w:r>
      <w:r>
        <w:rPr>
          <w:sz w:val="23"/>
          <w:szCs w:val="23"/>
        </w:rPr>
        <w:t>, con</w:t>
      </w:r>
      <w:r w:rsidR="00071F44">
        <w:rPr>
          <w:sz w:val="23"/>
          <w:szCs w:val="23"/>
        </w:rPr>
        <w:t xml:space="preserve"> l’eccezione del</w:t>
      </w:r>
      <w:r>
        <w:rPr>
          <w:sz w:val="23"/>
          <w:szCs w:val="23"/>
        </w:rPr>
        <w:t xml:space="preserve"> previsto incremento dei </w:t>
      </w:r>
      <w:proofErr w:type="spellStart"/>
      <w:r>
        <w:rPr>
          <w:sz w:val="23"/>
          <w:szCs w:val="23"/>
        </w:rPr>
        <w:t>ppll</w:t>
      </w:r>
      <w:proofErr w:type="spellEnd"/>
      <w:r>
        <w:rPr>
          <w:sz w:val="23"/>
          <w:szCs w:val="23"/>
        </w:rPr>
        <w:t xml:space="preserve"> di Terapia Intensiva di cui al DL34/2020 e relativi posti letto di Sub-intensiva</w:t>
      </w:r>
    </w:p>
    <w:p w14:paraId="1568E63F" w14:textId="77777777" w:rsidR="007D103B" w:rsidRDefault="007D103B" w:rsidP="00564623">
      <w:pPr>
        <w:pStyle w:val="Default"/>
        <w:ind w:left="720"/>
        <w:jc w:val="both"/>
        <w:rPr>
          <w:sz w:val="23"/>
          <w:szCs w:val="23"/>
        </w:rPr>
      </w:pPr>
    </w:p>
    <w:p w14:paraId="5593DF21" w14:textId="6839CFA3" w:rsidR="000312DE" w:rsidRDefault="000312DE" w:rsidP="0056462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Inserimento in Tabella C delle UOC univers</w:t>
      </w:r>
      <w:r w:rsidR="00071F44">
        <w:rPr>
          <w:sz w:val="23"/>
          <w:szCs w:val="23"/>
        </w:rPr>
        <w:t>i</w:t>
      </w:r>
      <w:r>
        <w:rPr>
          <w:sz w:val="23"/>
          <w:szCs w:val="23"/>
        </w:rPr>
        <w:t xml:space="preserve">tarie, </w:t>
      </w:r>
      <w:r w:rsidR="00071F44">
        <w:rPr>
          <w:sz w:val="23"/>
          <w:szCs w:val="23"/>
        </w:rPr>
        <w:t xml:space="preserve">già </w:t>
      </w:r>
      <w:r>
        <w:rPr>
          <w:sz w:val="23"/>
          <w:szCs w:val="23"/>
        </w:rPr>
        <w:t xml:space="preserve">previste dal </w:t>
      </w:r>
      <w:r w:rsidRPr="000312DE">
        <w:rPr>
          <w:sz w:val="23"/>
          <w:szCs w:val="23"/>
        </w:rPr>
        <w:t>Protocollo d’Intesa tra Regione Umbria e Università degli Studi di Perugia di cui alla DGR 528 del 20.04.2015 e</w:t>
      </w:r>
      <w:r w:rsidR="00071F44">
        <w:rPr>
          <w:sz w:val="23"/>
          <w:szCs w:val="23"/>
        </w:rPr>
        <w:t xml:space="preserve"> per mero</w:t>
      </w:r>
      <w:r w:rsidRPr="000312DE">
        <w:rPr>
          <w:sz w:val="23"/>
          <w:szCs w:val="23"/>
        </w:rPr>
        <w:t xml:space="preserve"> er</w:t>
      </w:r>
      <w:r w:rsidR="00071F44">
        <w:rPr>
          <w:sz w:val="23"/>
          <w:szCs w:val="23"/>
        </w:rPr>
        <w:t>rore materiale</w:t>
      </w:r>
      <w:r w:rsidRPr="000312DE">
        <w:rPr>
          <w:sz w:val="23"/>
          <w:szCs w:val="23"/>
        </w:rPr>
        <w:t xml:space="preserve"> non riportate nella DGR 212/2016</w:t>
      </w:r>
    </w:p>
    <w:p w14:paraId="17F2FC96" w14:textId="77777777" w:rsidR="007D103B" w:rsidRDefault="007D103B" w:rsidP="00564623">
      <w:pPr>
        <w:pStyle w:val="Default"/>
        <w:ind w:left="720"/>
        <w:jc w:val="both"/>
        <w:rPr>
          <w:sz w:val="23"/>
          <w:szCs w:val="23"/>
        </w:rPr>
      </w:pPr>
    </w:p>
    <w:p w14:paraId="0271F591" w14:textId="51A28B2A" w:rsidR="00C61189" w:rsidRDefault="00C61189" w:rsidP="0056462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Mantenimento dell’organizzazione complessiva delle reti tempo dipendenti e del sistema Emergenza urgenza, con disattivazione </w:t>
      </w:r>
      <w:r w:rsidR="00071F44">
        <w:rPr>
          <w:sz w:val="23"/>
          <w:szCs w:val="23"/>
        </w:rPr>
        <w:t>del PS di Amelia, fortemente</w:t>
      </w:r>
      <w:r>
        <w:rPr>
          <w:sz w:val="23"/>
          <w:szCs w:val="23"/>
        </w:rPr>
        <w:t xml:space="preserve"> substandard</w:t>
      </w:r>
      <w:r w:rsidR="00071F44">
        <w:rPr>
          <w:sz w:val="23"/>
          <w:szCs w:val="23"/>
        </w:rPr>
        <w:t xml:space="preserve"> (circa 1</w:t>
      </w:r>
      <w:r w:rsidR="004357CC">
        <w:rPr>
          <w:sz w:val="23"/>
          <w:szCs w:val="23"/>
        </w:rPr>
        <w:t>.</w:t>
      </w:r>
      <w:r w:rsidR="00071F44">
        <w:rPr>
          <w:sz w:val="23"/>
          <w:szCs w:val="23"/>
        </w:rPr>
        <w:t>000 accessi all’anno).</w:t>
      </w:r>
      <w:r w:rsidR="000312DE">
        <w:rPr>
          <w:sz w:val="23"/>
          <w:szCs w:val="23"/>
        </w:rPr>
        <w:t xml:space="preserve"> Nello specifico del sistema EMUR, si evidenzia come il PO di Amelia </w:t>
      </w:r>
      <w:r w:rsidR="00071F44">
        <w:rPr>
          <w:sz w:val="23"/>
          <w:szCs w:val="23"/>
        </w:rPr>
        <w:t xml:space="preserve">faccia registrare </w:t>
      </w:r>
      <w:r w:rsidR="000312DE">
        <w:rPr>
          <w:sz w:val="23"/>
          <w:szCs w:val="23"/>
        </w:rPr>
        <w:t>esigui numeri</w:t>
      </w:r>
      <w:r w:rsidR="007D103B">
        <w:rPr>
          <w:sz w:val="23"/>
          <w:szCs w:val="23"/>
        </w:rPr>
        <w:t xml:space="preserve"> di accessi</w:t>
      </w:r>
      <w:r w:rsidR="000312DE">
        <w:rPr>
          <w:sz w:val="23"/>
          <w:szCs w:val="23"/>
        </w:rPr>
        <w:t xml:space="preserve"> </w:t>
      </w:r>
      <w:r w:rsidR="00071F44">
        <w:rPr>
          <w:sz w:val="23"/>
          <w:szCs w:val="23"/>
        </w:rPr>
        <w:t>(circa 1000)</w:t>
      </w:r>
      <w:r w:rsidR="007D103B">
        <w:rPr>
          <w:sz w:val="23"/>
          <w:szCs w:val="23"/>
        </w:rPr>
        <w:t>, di cui il 91% classificati come Codice bianco o verde</w:t>
      </w:r>
      <w:r w:rsidR="00071F44">
        <w:rPr>
          <w:sz w:val="23"/>
          <w:szCs w:val="23"/>
        </w:rPr>
        <w:t xml:space="preserve"> con la presenza preponderante di causale di dimissione “a domicilio”, che fa rilevare una forte % di accessi evitabili.</w:t>
      </w:r>
      <w:r w:rsidR="007D103B">
        <w:rPr>
          <w:sz w:val="23"/>
          <w:szCs w:val="23"/>
        </w:rPr>
        <w:t xml:space="preserve"> </w:t>
      </w:r>
    </w:p>
    <w:p w14:paraId="12832F4B" w14:textId="77777777" w:rsidR="000312DE" w:rsidRPr="000312DE" w:rsidRDefault="000312DE" w:rsidP="00564623">
      <w:pPr>
        <w:ind w:left="360"/>
        <w:jc w:val="both"/>
        <w:rPr>
          <w:i/>
        </w:rPr>
      </w:pPr>
    </w:p>
    <w:tbl>
      <w:tblPr>
        <w:tblW w:w="96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20"/>
        <w:gridCol w:w="2050"/>
        <w:gridCol w:w="1058"/>
        <w:gridCol w:w="1043"/>
        <w:gridCol w:w="501"/>
        <w:gridCol w:w="834"/>
        <w:gridCol w:w="507"/>
        <w:gridCol w:w="687"/>
        <w:gridCol w:w="674"/>
        <w:gridCol w:w="574"/>
      </w:tblGrid>
      <w:tr w:rsidR="000312DE" w:rsidRPr="007448D3" w14:paraId="79CFBF93" w14:textId="77777777" w:rsidTr="004D26F9">
        <w:trPr>
          <w:trHeight w:val="263"/>
        </w:trPr>
        <w:tc>
          <w:tcPr>
            <w:tcW w:w="4868" w:type="dxa"/>
            <w:gridSpan w:val="4"/>
            <w:tcBorders>
              <w:top w:val="single" w:sz="8" w:space="0" w:color="808080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CCCCFF"/>
            <w:vAlign w:val="center"/>
            <w:hideMark/>
          </w:tcPr>
          <w:p w14:paraId="4DB9FB54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HSP 11</w:t>
            </w:r>
          </w:p>
        </w:tc>
        <w:tc>
          <w:tcPr>
            <w:tcW w:w="4246" w:type="dxa"/>
            <w:gridSpan w:val="6"/>
            <w:tcBorders>
              <w:top w:val="single" w:sz="8" w:space="0" w:color="808080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CCCCFF"/>
            <w:vAlign w:val="center"/>
            <w:hideMark/>
          </w:tcPr>
          <w:p w14:paraId="72EBB05C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Percentuale Triage</w:t>
            </w:r>
          </w:p>
        </w:tc>
        <w:tc>
          <w:tcPr>
            <w:tcW w:w="574" w:type="dxa"/>
            <w:vMerge w:val="restart"/>
            <w:tcBorders>
              <w:top w:val="single" w:sz="8" w:space="0" w:color="808080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CCCCFF"/>
            <w:vAlign w:val="center"/>
            <w:hideMark/>
          </w:tcPr>
          <w:p w14:paraId="56D9BA5F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Totale accessi</w:t>
            </w:r>
          </w:p>
        </w:tc>
      </w:tr>
      <w:tr w:rsidR="000312DE" w:rsidRPr="007448D3" w14:paraId="0B718A4D" w14:textId="77777777" w:rsidTr="004D26F9">
        <w:trPr>
          <w:trHeight w:val="491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31F56E47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Cod. Az.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2F9467A5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Cod. </w:t>
            </w:r>
            <w:proofErr w:type="spellStart"/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Strutt</w:t>
            </w:r>
            <w:proofErr w:type="spellEnd"/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20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6B58F437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Classificazione struttura</w:t>
            </w: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808080"/>
            </w:tcBorders>
            <w:shd w:val="clear" w:color="FFFFFF" w:fill="CCCCFF"/>
            <w:vAlign w:val="center"/>
            <w:hideMark/>
          </w:tcPr>
          <w:p w14:paraId="4E9DC290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Denominazione Struttura</w:t>
            </w:r>
          </w:p>
        </w:tc>
        <w:tc>
          <w:tcPr>
            <w:tcW w:w="10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153DED66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Bianco - Non critico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03C928CA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Verde - Poco critico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572E92D7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Giallo - Mediamente critico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30C42A8F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Rosso - Molto critico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CCCCFF"/>
            <w:vAlign w:val="center"/>
            <w:hideMark/>
          </w:tcPr>
          <w:p w14:paraId="70A16B5D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Nero - Deceduto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FFFFFF" w:fill="CCCCFF"/>
            <w:vAlign w:val="center"/>
            <w:hideMark/>
          </w:tcPr>
          <w:p w14:paraId="7BA0D08F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Non eseguito (strutture &lt; 25.000 accessi) </w:t>
            </w:r>
          </w:p>
        </w:tc>
        <w:tc>
          <w:tcPr>
            <w:tcW w:w="574" w:type="dxa"/>
            <w:vMerge/>
            <w:tcBorders>
              <w:top w:val="single" w:sz="8" w:space="0" w:color="808080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vAlign w:val="center"/>
            <w:hideMark/>
          </w:tcPr>
          <w:p w14:paraId="636DEEDD" w14:textId="77777777" w:rsidR="000312DE" w:rsidRPr="007448D3" w:rsidRDefault="000312DE" w:rsidP="00564623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312DE" w:rsidRPr="007448D3" w14:paraId="1253609E" w14:textId="77777777" w:rsidTr="004D26F9">
        <w:trPr>
          <w:trHeight w:val="254"/>
        </w:trPr>
        <w:tc>
          <w:tcPr>
            <w:tcW w:w="9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14:paraId="1DD362AC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14:paraId="517D2AE3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10080501</w:t>
            </w:r>
          </w:p>
        </w:tc>
        <w:tc>
          <w:tcPr>
            <w:tcW w:w="20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14:paraId="49E32E77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DEA I</w:t>
            </w: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2B7A6991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OSPEDALE CIVILE SAN MATTEO DEGLI INFERMI</w:t>
            </w:r>
          </w:p>
        </w:tc>
        <w:tc>
          <w:tcPr>
            <w:tcW w:w="10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1230AD74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16,29</w:t>
            </w:r>
          </w:p>
        </w:tc>
        <w:tc>
          <w:tcPr>
            <w:tcW w:w="5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707B0372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60,03</w:t>
            </w:r>
          </w:p>
        </w:tc>
        <w:tc>
          <w:tcPr>
            <w:tcW w:w="8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3A40111E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22,36</w:t>
            </w:r>
          </w:p>
        </w:tc>
        <w:tc>
          <w:tcPr>
            <w:tcW w:w="5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46DD8A88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1,28</w:t>
            </w:r>
          </w:p>
        </w:tc>
        <w:tc>
          <w:tcPr>
            <w:tcW w:w="6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3C186D0E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101C9046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32D78D45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14685</w:t>
            </w:r>
          </w:p>
        </w:tc>
      </w:tr>
      <w:tr w:rsidR="000312DE" w:rsidRPr="007448D3" w14:paraId="7492E1CF" w14:textId="77777777" w:rsidTr="004D26F9">
        <w:trPr>
          <w:trHeight w:val="254"/>
        </w:trPr>
        <w:tc>
          <w:tcPr>
            <w:tcW w:w="9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4E925B2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14:paraId="5F581B04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10080702</w:t>
            </w:r>
          </w:p>
        </w:tc>
        <w:tc>
          <w:tcPr>
            <w:tcW w:w="20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14:paraId="5211643C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PS</w:t>
            </w: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003F2E56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STABILIMENTO OSPEDALIERO DI AMELIA</w:t>
            </w:r>
          </w:p>
        </w:tc>
        <w:tc>
          <w:tcPr>
            <w:tcW w:w="10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12E1593C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15,07</w:t>
            </w:r>
          </w:p>
        </w:tc>
        <w:tc>
          <w:tcPr>
            <w:tcW w:w="5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6A290AEB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76,74</w:t>
            </w:r>
          </w:p>
        </w:tc>
        <w:tc>
          <w:tcPr>
            <w:tcW w:w="8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4394C373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8,02</w:t>
            </w:r>
          </w:p>
        </w:tc>
        <w:tc>
          <w:tcPr>
            <w:tcW w:w="5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3D1AFC47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0,18</w:t>
            </w:r>
          </w:p>
        </w:tc>
        <w:tc>
          <w:tcPr>
            <w:tcW w:w="6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4F4D000A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58076E13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3016C511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1135</w:t>
            </w:r>
          </w:p>
        </w:tc>
      </w:tr>
      <w:tr w:rsidR="000312DE" w:rsidRPr="007448D3" w14:paraId="18B2C8BA" w14:textId="77777777" w:rsidTr="004D26F9">
        <w:trPr>
          <w:trHeight w:val="254"/>
        </w:trPr>
        <w:tc>
          <w:tcPr>
            <w:tcW w:w="9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EDAAB9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14:paraId="55BB6408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10080901</w:t>
            </w:r>
          </w:p>
        </w:tc>
        <w:tc>
          <w:tcPr>
            <w:tcW w:w="20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14:paraId="10F9652B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DEA I</w:t>
            </w: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4AAAE96E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OSPEDALE SAN GIOVANNI BATTISTA FOLIGNO</w:t>
            </w:r>
          </w:p>
        </w:tc>
        <w:tc>
          <w:tcPr>
            <w:tcW w:w="10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19C9ED64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4,56</w:t>
            </w:r>
          </w:p>
        </w:tc>
        <w:tc>
          <w:tcPr>
            <w:tcW w:w="5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72A4D34B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76,45</w:t>
            </w:r>
          </w:p>
        </w:tc>
        <w:tc>
          <w:tcPr>
            <w:tcW w:w="8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384AC667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17,1</w:t>
            </w:r>
          </w:p>
        </w:tc>
        <w:tc>
          <w:tcPr>
            <w:tcW w:w="5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27AA3576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1,88</w:t>
            </w:r>
          </w:p>
        </w:tc>
        <w:tc>
          <w:tcPr>
            <w:tcW w:w="6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FFFFFF" w:fill="FFFFFF"/>
            <w:vAlign w:val="center"/>
            <w:hideMark/>
          </w:tcPr>
          <w:p w14:paraId="47D1B3C1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52E9BC51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808080"/>
            </w:tcBorders>
            <w:shd w:val="clear" w:color="FFFFFF" w:fill="FFFFFF"/>
            <w:vAlign w:val="center"/>
            <w:hideMark/>
          </w:tcPr>
          <w:p w14:paraId="6BEA5B05" w14:textId="77777777" w:rsidR="000312DE" w:rsidRPr="007448D3" w:rsidRDefault="000312DE" w:rsidP="0056462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48D3">
              <w:rPr>
                <w:rFonts w:ascii="Arial" w:hAnsi="Arial" w:cs="Arial"/>
                <w:color w:val="000000"/>
                <w:sz w:val="12"/>
                <w:szCs w:val="12"/>
              </w:rPr>
              <w:t>38695</w:t>
            </w:r>
          </w:p>
        </w:tc>
      </w:tr>
    </w:tbl>
    <w:p w14:paraId="1DCB4F6E" w14:textId="5FD0D265" w:rsidR="000312DE" w:rsidRDefault="000312DE" w:rsidP="00564623">
      <w:pPr>
        <w:jc w:val="both"/>
        <w:rPr>
          <w:i/>
        </w:rPr>
      </w:pPr>
      <w:r w:rsidRPr="007D103B">
        <w:rPr>
          <w:i/>
        </w:rPr>
        <w:t>Tabella con accessi complessivi Triage 2022</w:t>
      </w:r>
    </w:p>
    <w:p w14:paraId="6924469A" w14:textId="2FB580F3" w:rsidR="007D103B" w:rsidRDefault="007D103B" w:rsidP="00564623">
      <w:pPr>
        <w:jc w:val="both"/>
        <w:rPr>
          <w:i/>
        </w:rPr>
      </w:pPr>
    </w:p>
    <w:p w14:paraId="6120BF8B" w14:textId="40612C76" w:rsidR="007D103B" w:rsidRDefault="007D103B" w:rsidP="00564623">
      <w:pPr>
        <w:jc w:val="both"/>
        <w:rPr>
          <w:i/>
        </w:rPr>
      </w:pPr>
    </w:p>
    <w:p w14:paraId="6E45E108" w14:textId="1B5004EF" w:rsidR="00564623" w:rsidRDefault="0093686D" w:rsidP="005646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ultimo si riporta la novità costituita dal “Terzo POLO”</w:t>
      </w:r>
    </w:p>
    <w:p w14:paraId="67DA0F00" w14:textId="77777777" w:rsidR="0093686D" w:rsidRDefault="0093686D" w:rsidP="00564623">
      <w:pPr>
        <w:pStyle w:val="Default"/>
        <w:jc w:val="both"/>
        <w:rPr>
          <w:sz w:val="23"/>
          <w:szCs w:val="23"/>
        </w:rPr>
      </w:pPr>
    </w:p>
    <w:p w14:paraId="09D6E3F9" w14:textId="52C8A09C" w:rsidR="00564623" w:rsidRDefault="0093686D" w:rsidP="009368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c</w:t>
      </w:r>
      <w:r w:rsidR="00564623">
        <w:rPr>
          <w:sz w:val="23"/>
          <w:szCs w:val="23"/>
        </w:rPr>
        <w:t>reazione del “Terzo Polo”</w:t>
      </w:r>
      <w:r>
        <w:rPr>
          <w:sz w:val="23"/>
          <w:szCs w:val="23"/>
        </w:rPr>
        <w:t xml:space="preserve"> prevede la</w:t>
      </w:r>
      <w:r w:rsidR="00564623">
        <w:rPr>
          <w:sz w:val="23"/>
          <w:szCs w:val="23"/>
        </w:rPr>
        <w:t xml:space="preserve"> fusione dei DEA di I livello di Spoleto e Foligno, con complessivo guadagno in termini di ridondanze e afferenze e riduzione dei DEA di I livello nel rispetto della metodologia dei bacini di utenza e dello standard dei </w:t>
      </w:r>
      <w:proofErr w:type="spellStart"/>
      <w:r w:rsidR="00564623">
        <w:rPr>
          <w:sz w:val="23"/>
          <w:szCs w:val="23"/>
        </w:rPr>
        <w:t>ppll</w:t>
      </w:r>
      <w:proofErr w:type="spellEnd"/>
      <w:r w:rsidR="00564623">
        <w:rPr>
          <w:sz w:val="23"/>
          <w:szCs w:val="23"/>
        </w:rPr>
        <w:t xml:space="preserve"> per 1000 abitanti</w:t>
      </w:r>
      <w:r>
        <w:rPr>
          <w:sz w:val="23"/>
          <w:szCs w:val="23"/>
        </w:rPr>
        <w:t xml:space="preserve">, conservando i </w:t>
      </w:r>
      <w:proofErr w:type="spellStart"/>
      <w:r>
        <w:rPr>
          <w:sz w:val="23"/>
          <w:szCs w:val="23"/>
        </w:rPr>
        <w:t>ppll</w:t>
      </w:r>
      <w:proofErr w:type="spellEnd"/>
      <w:r>
        <w:rPr>
          <w:sz w:val="23"/>
          <w:szCs w:val="23"/>
        </w:rPr>
        <w:t xml:space="preserve"> previsti.</w:t>
      </w:r>
    </w:p>
    <w:p w14:paraId="75C65ABC" w14:textId="4E70CA23" w:rsidR="00A96880" w:rsidRDefault="00A96880" w:rsidP="009368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Terzo Polo si concretizza in un pezzo di territorio a confine con la regione Marche, in un contesto logistico dove le strutture coinvolte hanno una estrema facilità di collegamento che permette una forte integrazione dalle medesime.  </w:t>
      </w:r>
    </w:p>
    <w:p w14:paraId="13F488DF" w14:textId="65CBB416" w:rsidR="00564623" w:rsidRDefault="00A96880" w:rsidP="009368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 segnalare il superamento</w:t>
      </w:r>
      <w:r w:rsidR="00564623">
        <w:rPr>
          <w:sz w:val="23"/>
          <w:szCs w:val="23"/>
        </w:rPr>
        <w:t xml:space="preserve"> </w:t>
      </w:r>
      <w:r w:rsidR="0093686D">
        <w:rPr>
          <w:sz w:val="23"/>
          <w:szCs w:val="23"/>
        </w:rPr>
        <w:t>dell</w:t>
      </w:r>
      <w:r>
        <w:rPr>
          <w:sz w:val="23"/>
          <w:szCs w:val="23"/>
        </w:rPr>
        <w:t>e</w:t>
      </w:r>
      <w:r w:rsidR="0093686D">
        <w:rPr>
          <w:sz w:val="23"/>
          <w:szCs w:val="23"/>
        </w:rPr>
        <w:t xml:space="preserve"> duplicazioni</w:t>
      </w:r>
      <w:r w:rsidR="00564623">
        <w:rPr>
          <w:sz w:val="23"/>
          <w:szCs w:val="23"/>
        </w:rPr>
        <w:t xml:space="preserve"> di</w:t>
      </w:r>
      <w:r>
        <w:rPr>
          <w:sz w:val="23"/>
          <w:szCs w:val="23"/>
        </w:rPr>
        <w:t xml:space="preserve"> diverse Unità Operative come</w:t>
      </w:r>
      <w:r w:rsidR="00564623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="00564623">
        <w:rPr>
          <w:sz w:val="23"/>
          <w:szCs w:val="23"/>
        </w:rPr>
        <w:t>ardiologia e Ostetricia, con risultanze in termini di appropriatezza, efficacia ed efficienza</w:t>
      </w:r>
      <w:r>
        <w:rPr>
          <w:sz w:val="23"/>
          <w:szCs w:val="23"/>
        </w:rPr>
        <w:t xml:space="preserve"> nonché la semplificazione organizzativa per la gestione delle patologie complesse.</w:t>
      </w:r>
    </w:p>
    <w:p w14:paraId="5D12B92D" w14:textId="4FB894D6" w:rsidR="0093686D" w:rsidRDefault="0093686D" w:rsidP="00A9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fa presente che la disattivazione del PN di Spoleto era stata chiesta anche dal </w:t>
      </w:r>
      <w:proofErr w:type="spellStart"/>
      <w:r>
        <w:rPr>
          <w:sz w:val="23"/>
          <w:szCs w:val="23"/>
        </w:rPr>
        <w:t>CPNn</w:t>
      </w:r>
      <w:proofErr w:type="spellEnd"/>
      <w:r>
        <w:rPr>
          <w:sz w:val="23"/>
          <w:szCs w:val="23"/>
        </w:rPr>
        <w:t xml:space="preserve"> che aveva espresso parere sfavorevole al mantenimento in attività del PN fortemente Sub Standard. </w:t>
      </w:r>
    </w:p>
    <w:p w14:paraId="27339C71" w14:textId="0E8E62AE" w:rsidR="00564623" w:rsidRDefault="00A96880" w:rsidP="00A9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 seguito gli effetti dovuti alla c</w:t>
      </w:r>
      <w:r w:rsidR="00564623">
        <w:rPr>
          <w:sz w:val="23"/>
          <w:szCs w:val="23"/>
        </w:rPr>
        <w:t>reazione del Terzo Polo</w:t>
      </w:r>
      <w:r>
        <w:rPr>
          <w:sz w:val="23"/>
          <w:szCs w:val="23"/>
        </w:rPr>
        <w:t>,</w:t>
      </w:r>
      <w:r w:rsidR="00564623">
        <w:rPr>
          <w:sz w:val="23"/>
          <w:szCs w:val="23"/>
        </w:rPr>
        <w:t xml:space="preserve"> che produce riduzione del numero di 7 UOC complessive in ottemperanza al D.M 70/2015.</w:t>
      </w:r>
    </w:p>
    <w:p w14:paraId="02057532" w14:textId="77777777" w:rsidR="00564623" w:rsidRDefault="00564623" w:rsidP="00564623">
      <w:pPr>
        <w:pStyle w:val="Default"/>
        <w:ind w:left="720"/>
        <w:jc w:val="both"/>
        <w:rPr>
          <w:sz w:val="23"/>
          <w:szCs w:val="23"/>
        </w:rPr>
      </w:pPr>
    </w:p>
    <w:tbl>
      <w:tblPr>
        <w:tblW w:w="103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415"/>
        <w:gridCol w:w="709"/>
        <w:gridCol w:w="851"/>
        <w:gridCol w:w="850"/>
        <w:gridCol w:w="934"/>
        <w:gridCol w:w="380"/>
        <w:gridCol w:w="3222"/>
      </w:tblGrid>
      <w:tr w:rsidR="00A96880" w14:paraId="6E453C25" w14:textId="77777777" w:rsidTr="00A96880">
        <w:trPr>
          <w:trHeight w:val="28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0B5E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cod. disciplina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FAFA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descrizione disciplina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CD1CE3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DGR 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2907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" w:type="dxa"/>
            <w:noWrap/>
            <w:vAlign w:val="bottom"/>
            <w:hideMark/>
          </w:tcPr>
          <w:p w14:paraId="3364AF0F" w14:textId="77777777" w:rsidR="00A96880" w:rsidRDefault="00A96880">
            <w:pP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B129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NOTE STRUTTURE</w:t>
            </w:r>
          </w:p>
        </w:tc>
      </w:tr>
      <w:tr w:rsidR="00A96880" w14:paraId="06EA36CB" w14:textId="77777777" w:rsidTr="00A968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57DE" w14:textId="77777777" w:rsidR="00A96880" w:rsidRDefault="00A96880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C661" w14:textId="77777777" w:rsidR="00A96880" w:rsidRDefault="00A96880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2BEA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Foligno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07E14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Spoleto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1CFCF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E0C7E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evoluzione</w:t>
            </w:r>
          </w:p>
        </w:tc>
        <w:tc>
          <w:tcPr>
            <w:tcW w:w="380" w:type="dxa"/>
            <w:noWrap/>
            <w:vAlign w:val="bottom"/>
            <w:hideMark/>
          </w:tcPr>
          <w:p w14:paraId="5CB224E0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7CD1" w14:textId="77777777" w:rsidR="00A96880" w:rsidRDefault="00A96880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A96880" w14:paraId="6650C1EA" w14:textId="77777777" w:rsidTr="00A96880">
        <w:trPr>
          <w:trHeight w:val="288"/>
        </w:trPr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6244CD8E" w14:textId="77777777" w:rsidR="00A96880" w:rsidRDefault="00A96880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DISCIPLINE</w:t>
            </w:r>
          </w:p>
        </w:tc>
        <w:tc>
          <w:tcPr>
            <w:tcW w:w="380" w:type="dxa"/>
            <w:noWrap/>
            <w:vAlign w:val="bottom"/>
            <w:hideMark/>
          </w:tcPr>
          <w:p w14:paraId="048EA931" w14:textId="77777777" w:rsidR="00A96880" w:rsidRDefault="00A96880">
            <w:pP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shd w:val="clear" w:color="auto" w:fill="DBE5F1"/>
            <w:noWrap/>
            <w:vAlign w:val="bottom"/>
            <w:hideMark/>
          </w:tcPr>
          <w:p w14:paraId="6FFD5FCA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 </w:t>
            </w:r>
          </w:p>
        </w:tc>
      </w:tr>
      <w:tr w:rsidR="00A96880" w14:paraId="48EB0B34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C1FD3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DB81F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CARDIOLOGIA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4845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2BB9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3BF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36F6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5B2D4DDD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0F099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FOLIGNO SPOLETO INSERITA A FOLIGNO CONTIENE UTIC</w:t>
            </w:r>
          </w:p>
        </w:tc>
      </w:tr>
      <w:tr w:rsidR="00A96880" w14:paraId="5BFCCAEE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999D6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F9FAC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CHIRURGIA GENERALE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D9048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4EB4E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DE5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467C5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2   </w:t>
            </w:r>
          </w:p>
        </w:tc>
        <w:tc>
          <w:tcPr>
            <w:tcW w:w="380" w:type="dxa"/>
            <w:noWrap/>
            <w:vAlign w:val="bottom"/>
            <w:hideMark/>
          </w:tcPr>
          <w:p w14:paraId="4D5DE00F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98414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NESSUNA VARIAZIONE</w:t>
            </w:r>
          </w:p>
        </w:tc>
      </w:tr>
      <w:tr w:rsidR="00A96880" w14:paraId="49D95912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FA3C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9873E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MEDICINA GENERALE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3F4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5390A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A16B7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3B68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2   </w:t>
            </w:r>
          </w:p>
        </w:tc>
        <w:tc>
          <w:tcPr>
            <w:tcW w:w="380" w:type="dxa"/>
            <w:noWrap/>
            <w:vAlign w:val="bottom"/>
            <w:hideMark/>
          </w:tcPr>
          <w:p w14:paraId="48B1BEDA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38244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NESSUNA VARIAZIONE</w:t>
            </w:r>
          </w:p>
        </w:tc>
      </w:tr>
      <w:tr w:rsidR="00A96880" w14:paraId="6C612ECF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AF6BC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530E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MEDICINA E CHIRURGIA D'ACCETTAZIONE E D'URGENZA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701E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FB448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1A0E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85425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2 </w:t>
            </w:r>
          </w:p>
        </w:tc>
        <w:tc>
          <w:tcPr>
            <w:tcW w:w="380" w:type="dxa"/>
            <w:noWrap/>
            <w:vAlign w:val="bottom"/>
            <w:hideMark/>
          </w:tcPr>
          <w:p w14:paraId="5430C6BD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51C72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NESSUNA VARIAZIONE 1 SOLO PS SENZA POSTI LETTO</w:t>
            </w:r>
          </w:p>
        </w:tc>
      </w:tr>
      <w:tr w:rsidR="00A96880" w14:paraId="3169606C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D9C87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E573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GASTROENTEROLOGIA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30AA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4B2F6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272F6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14147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-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0894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C9B1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ELIMINATA SC SI PROGRAMMA SSD UNICA FOLIGNO -SPOLETO (GIA' SC INSERITA A FOLIGNO)</w:t>
            </w:r>
          </w:p>
        </w:tc>
      </w:tr>
      <w:tr w:rsidR="00A96880" w14:paraId="0F7D13AD" w14:textId="77777777" w:rsidTr="00A96880">
        <w:trPr>
          <w:trHeight w:val="28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CFE6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87B06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NEUROLOGIA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9887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C5CEA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5701A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A48ED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5768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20A2B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UNICA AZIENDALE USL UMBRIA 2 (GIA' INSERITA A FOLIGNO)</w:t>
            </w:r>
          </w:p>
        </w:tc>
      </w:tr>
      <w:tr w:rsidR="00A96880" w14:paraId="132E464B" w14:textId="77777777" w:rsidTr="00A96880">
        <w:trPr>
          <w:trHeight w:val="28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897A8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EF0A1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OCULISTICA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4034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046D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4950E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EA31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5324CE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7C5DB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FOLIGNO SPOLETO (GIA' INSERITA A FOLIGNO)</w:t>
            </w:r>
          </w:p>
        </w:tc>
      </w:tr>
      <w:tr w:rsidR="00A96880" w14:paraId="5B40D45F" w14:textId="77777777" w:rsidTr="00A96880">
        <w:trPr>
          <w:trHeight w:val="28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55A7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1E086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ORTOPEDIA E TRAUMATOLOGIA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F746F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294A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90D8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9CB1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60ED31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8682A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FOLIGNO SPOLETO INSERITA A SPOLETO</w:t>
            </w:r>
          </w:p>
        </w:tc>
      </w:tr>
      <w:tr w:rsidR="00A96880" w14:paraId="24165D00" w14:textId="77777777" w:rsidTr="00A96880">
        <w:trPr>
          <w:trHeight w:val="28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0146E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AA96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OSTETRICIA E GINECOLOGIA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9022D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54F57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9206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BCCB7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96ED6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BFDE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 xml:space="preserve">UNICA FOLIGNO SPOLETO INSERITA A FOLIGNO </w:t>
            </w:r>
          </w:p>
        </w:tc>
      </w:tr>
      <w:tr w:rsidR="00A96880" w14:paraId="75FACB2F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8911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91045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OTORINOLARINGOIATRIA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D84B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9C0D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5A4A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2B23C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3A6C6A1C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2F847E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AZIENDALE USL UMBRIA 2 (GIA' INSERITA A FOLIGNO)</w:t>
            </w:r>
          </w:p>
        </w:tc>
      </w:tr>
      <w:tr w:rsidR="00A96880" w14:paraId="47B28DC0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1BC31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D6FDB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PEDIATRIA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E60C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2AC2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2A8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11B1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01359F0D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70FF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FOLIGNO SPOLETO (GIA' INSERITA A FOLIGNO)</w:t>
            </w:r>
          </w:p>
        </w:tc>
      </w:tr>
      <w:tr w:rsidR="00A96880" w14:paraId="4D30E3D5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DD0C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0DBDD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PNEUMOLOGIA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FAA91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F4B1F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1EB49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0F49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-   </w:t>
            </w:r>
          </w:p>
        </w:tc>
        <w:tc>
          <w:tcPr>
            <w:tcW w:w="380" w:type="dxa"/>
            <w:noWrap/>
            <w:vAlign w:val="bottom"/>
            <w:hideMark/>
          </w:tcPr>
          <w:p w14:paraId="4A132D19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B60028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 xml:space="preserve">ELIMINATA SC SI PORGRAMMA SSD </w:t>
            </w:r>
          </w:p>
        </w:tc>
      </w:tr>
      <w:tr w:rsidR="00A96880" w14:paraId="082297CE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15265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2DBBC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PSICHIATRIA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49C7B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3E4B6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05A4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73128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04959770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DF573C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AZIENDALE USL UMBRIA 2 (GIA' INSERITA A FOLIGNO)</w:t>
            </w:r>
          </w:p>
        </w:tc>
      </w:tr>
      <w:tr w:rsidR="00A96880" w14:paraId="5F7B27DE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668D1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EF7F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TERAPIA INTENSIVA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39F3F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111FF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C42DF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E39AF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7C17ABCA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64D95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 xml:space="preserve">UNICA FOLIGNO SPOLETO INSERITA A FOLIGNO </w:t>
            </w:r>
          </w:p>
        </w:tc>
      </w:tr>
      <w:tr w:rsidR="00A96880" w14:paraId="3959317A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4837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03448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UROLOGIA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80E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FF99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4B7B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45852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68CD02D3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F24BF8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AZIENDALE USL UMBRIA 2 (GIA' INSERITA A FOLIGNO)</w:t>
            </w:r>
          </w:p>
        </w:tc>
      </w:tr>
      <w:tr w:rsidR="00A96880" w14:paraId="1837D5CE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BDAA1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2D01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ANATOMIA E ISTOLOGIA PATOLOGICA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E4307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17D9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59691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E19C0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265E871C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720509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UNICA AZIENDALE USL UMBRIA 2 (GIA' INSERITA A FOLIGNO)</w:t>
            </w:r>
          </w:p>
        </w:tc>
      </w:tr>
      <w:tr w:rsidR="00A96880" w14:paraId="3181589F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07C5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0D26E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EMODIALSI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592D6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F0385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6CEC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64F86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75F5B539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363AF9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UNICA AZIENDALE USL UMBRIA 2 CONTIENE NEFROLOGIA (GIA' INSERITA A FOLIGNO)</w:t>
            </w:r>
          </w:p>
        </w:tc>
      </w:tr>
      <w:tr w:rsidR="00A96880" w14:paraId="5D35973B" w14:textId="77777777" w:rsidTr="00A96880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4A319078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3B16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DIREZIONE SAITARIA DI PRESIDIO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9F9F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6E6E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0395E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5A8F5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2   </w:t>
            </w:r>
          </w:p>
        </w:tc>
        <w:tc>
          <w:tcPr>
            <w:tcW w:w="380" w:type="dxa"/>
            <w:noWrap/>
            <w:vAlign w:val="bottom"/>
            <w:hideMark/>
          </w:tcPr>
          <w:p w14:paraId="6D5FA8BA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CCCD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NESSUNA VARIAZIONE</w:t>
            </w:r>
          </w:p>
        </w:tc>
      </w:tr>
      <w:tr w:rsidR="00A96880" w14:paraId="70E6AF77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BF7AC90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4135D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FARMACIA OSPEDALIERA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7A4CA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903B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EFFC6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2EB1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3FE6F506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52ADEA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UNICA AZIENDALE USL UMBRIA 2 (GIA' INSERITA A FOLIGNO)</w:t>
            </w:r>
          </w:p>
        </w:tc>
      </w:tr>
      <w:tr w:rsidR="00A96880" w14:paraId="6DBDE62A" w14:textId="77777777" w:rsidTr="00A96880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5CE650AE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20525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LABORATORIO ANALISI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C1F6D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E8146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2AC1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EFD2A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50F2FFEF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515F33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UNICA AZIENDALE USL UMBRIA 2 (GIA' INSERITA A FOLIGNO)</w:t>
            </w:r>
          </w:p>
        </w:tc>
      </w:tr>
      <w:tr w:rsidR="00A96880" w14:paraId="0AA38BED" w14:textId="77777777" w:rsidTr="00A96880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3D3C4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FDF71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RADIOLOGIA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D8B4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54562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3B232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E9B9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131E5BF1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D816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UNICA FOLIGNO SPOLETO INSERITA A SPOLETO</w:t>
            </w:r>
          </w:p>
        </w:tc>
      </w:tr>
      <w:tr w:rsidR="00A96880" w14:paraId="68D23AF6" w14:textId="77777777" w:rsidTr="00A96880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3F3BC4F6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DE3E" w14:textId="77777777" w:rsidR="00A96880" w:rsidRDefault="00A96880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PRONTO SOCCORSO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D84C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FCB7B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E86E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A8705" w14:textId="77777777" w:rsidR="00A96880" w:rsidRDefault="00A9688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                   1   </w:t>
            </w:r>
          </w:p>
        </w:tc>
        <w:tc>
          <w:tcPr>
            <w:tcW w:w="380" w:type="dxa"/>
            <w:noWrap/>
            <w:vAlign w:val="bottom"/>
            <w:hideMark/>
          </w:tcPr>
          <w:p w14:paraId="2E3ABA76" w14:textId="77777777" w:rsidR="00A96880" w:rsidRDefault="00A96880">
            <w:pP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00D12" w14:textId="77777777" w:rsidR="00A96880" w:rsidRDefault="00A96880">
            <w:pPr>
              <w:spacing w:line="256" w:lineRule="auto"/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  <w:t>NESSUNA VARIAZIONE</w:t>
            </w:r>
          </w:p>
        </w:tc>
      </w:tr>
      <w:tr w:rsidR="00A96880" w14:paraId="5A8EC6F5" w14:textId="77777777" w:rsidTr="00A96880">
        <w:trPr>
          <w:trHeight w:val="288"/>
        </w:trPr>
        <w:tc>
          <w:tcPr>
            <w:tcW w:w="999" w:type="dxa"/>
            <w:noWrap/>
            <w:vAlign w:val="bottom"/>
            <w:hideMark/>
          </w:tcPr>
          <w:p w14:paraId="642CDDE2" w14:textId="77777777" w:rsidR="00A96880" w:rsidRDefault="00A96880">
            <w:pPr>
              <w:rPr>
                <w:rFonts w:ascii="Calibri" w:hAnsi="Calibri" w:cs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49243C" w14:textId="77777777" w:rsidR="00A96880" w:rsidRDefault="00A9688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FD25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099A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117CF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4940" w14:textId="77777777" w:rsidR="00A96880" w:rsidRDefault="00A96880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 xml:space="preserve">                 23  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95E90D" w14:textId="77777777" w:rsidR="00A96880" w:rsidRDefault="00A96880">
            <w:pPr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14:paraId="681A7887" w14:textId="77777777" w:rsidR="00A96880" w:rsidRDefault="00A9688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901848D" w14:textId="77777777" w:rsidR="00564623" w:rsidRPr="000B57BD" w:rsidRDefault="00564623" w:rsidP="00564623">
      <w:pPr>
        <w:pStyle w:val="Default"/>
        <w:ind w:left="720"/>
        <w:jc w:val="both"/>
        <w:rPr>
          <w:sz w:val="23"/>
          <w:szCs w:val="23"/>
        </w:rPr>
      </w:pPr>
    </w:p>
    <w:p w14:paraId="6AF37319" w14:textId="58077B4D" w:rsidR="007D103B" w:rsidRDefault="007D103B" w:rsidP="00564623">
      <w:pPr>
        <w:jc w:val="both"/>
        <w:rPr>
          <w:i/>
        </w:rPr>
      </w:pPr>
    </w:p>
    <w:p w14:paraId="5D2FFE54" w14:textId="77777777" w:rsidR="004D26F9" w:rsidRDefault="004D26F9" w:rsidP="00564623">
      <w:pPr>
        <w:jc w:val="both"/>
      </w:pPr>
      <w:r>
        <w:t>T</w:t>
      </w:r>
      <w:r w:rsidR="00A96880" w:rsidRPr="004D26F9">
        <w:t xml:space="preserve">enuto conto </w:t>
      </w:r>
      <w:r>
        <w:t>c</w:t>
      </w:r>
      <w:r w:rsidR="00A96880" w:rsidRPr="004D26F9">
        <w:t>he</w:t>
      </w:r>
      <w:r>
        <w:t xml:space="preserve"> quanto esplicitato risulta </w:t>
      </w:r>
      <w:r w:rsidR="00A96880" w:rsidRPr="004D26F9">
        <w:t>in linea con quanto previsto dal</w:t>
      </w:r>
      <w:r>
        <w:t>la DGR 212/2016, approvata dai tavoli congiunti e attualmente in vigore, questa Direzione esprime piena soddisfazione rispetto al lavoro svolto.</w:t>
      </w:r>
    </w:p>
    <w:p w14:paraId="34A9EBB0" w14:textId="77777777" w:rsidR="004D26F9" w:rsidRDefault="004D26F9" w:rsidP="00564623">
      <w:pPr>
        <w:jc w:val="both"/>
      </w:pPr>
      <w:r>
        <w:t>Tutto quanto previsto dalla 212/2016, anche quanto non contemperato nel presente documento, sarà oggetto delle consuete verifiche di monitoraggio.</w:t>
      </w:r>
    </w:p>
    <w:p w14:paraId="72958BD6" w14:textId="77777777" w:rsidR="004D26F9" w:rsidRDefault="004D26F9" w:rsidP="00564623">
      <w:pPr>
        <w:jc w:val="both"/>
      </w:pPr>
    </w:p>
    <w:p w14:paraId="321229F7" w14:textId="63C1A418" w:rsidR="00A96880" w:rsidRPr="004D26F9" w:rsidRDefault="004D26F9" w:rsidP="00564623">
      <w:pPr>
        <w:jc w:val="both"/>
      </w:pPr>
      <w:r w:rsidRPr="00607387">
        <w:t xml:space="preserve">Per quanto attiene il TERZO POLO, trattandosi di una attività che non modifica i principi della 212/2016 e che di fatto, risulta in linea con quanto previsto dalla medesima, in termini di progressiva riduzione delle UU.OO.CC. in esubero e di sviluppo di una rete </w:t>
      </w:r>
      <w:r w:rsidR="00C4534E" w:rsidRPr="00607387">
        <w:t>che contemperasse il concetto di prossimità e di assistenza per livelli di complessità, si ritiene che la proposta possa essere accettata.</w:t>
      </w:r>
      <w:r w:rsidR="00C4534E">
        <w:t xml:space="preserve"> </w:t>
      </w:r>
      <w:r>
        <w:t xml:space="preserve">  </w:t>
      </w:r>
    </w:p>
    <w:p w14:paraId="69692BC1" w14:textId="77777777" w:rsidR="007D103B" w:rsidRDefault="007D103B" w:rsidP="00564623">
      <w:pPr>
        <w:jc w:val="both"/>
        <w:rPr>
          <w:i/>
        </w:rPr>
      </w:pPr>
    </w:p>
    <w:p w14:paraId="177112BD" w14:textId="77777777" w:rsidR="00A172CF" w:rsidRDefault="00A172CF" w:rsidP="00564623">
      <w:pPr>
        <w:spacing w:line="259" w:lineRule="auto"/>
        <w:jc w:val="both"/>
        <w:rPr>
          <w:sz w:val="22"/>
          <w:szCs w:val="22"/>
        </w:rPr>
      </w:pPr>
    </w:p>
    <w:p w14:paraId="7F8A4037" w14:textId="77777777" w:rsidR="00212869" w:rsidRDefault="00212869" w:rsidP="00564623">
      <w:pPr>
        <w:spacing w:line="259" w:lineRule="auto"/>
        <w:jc w:val="both"/>
        <w:rPr>
          <w:sz w:val="22"/>
          <w:szCs w:val="22"/>
        </w:rPr>
      </w:pPr>
    </w:p>
    <w:p w14:paraId="6AFB39C2" w14:textId="6FD9386A" w:rsidR="00A172CF" w:rsidRDefault="00A172CF" w:rsidP="00564623">
      <w:pPr>
        <w:ind w:left="5954"/>
        <w:jc w:val="both"/>
      </w:pPr>
    </w:p>
    <w:sectPr w:rsidR="00A172CF" w:rsidSect="004D26F9">
      <w:footerReference w:type="even" r:id="rId9"/>
      <w:footerReference w:type="default" r:id="rId10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24D2" w14:textId="77777777" w:rsidR="00042D39" w:rsidRDefault="00042D39">
      <w:r>
        <w:separator/>
      </w:r>
    </w:p>
  </w:endnote>
  <w:endnote w:type="continuationSeparator" w:id="0">
    <w:p w14:paraId="5C50CEBD" w14:textId="77777777" w:rsidR="00042D39" w:rsidRDefault="0004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DF2" w14:textId="77777777" w:rsidR="004D26F9" w:rsidRDefault="004D26F9" w:rsidP="004D26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804959" w14:textId="77777777" w:rsidR="004D26F9" w:rsidRDefault="004D26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9DAA" w14:textId="5FB9AA4E" w:rsidR="004D26F9" w:rsidRDefault="004D26F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E37A7E" w14:textId="77777777" w:rsidR="004D26F9" w:rsidRDefault="004D26F9" w:rsidP="004D26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8EEF" w14:textId="77777777" w:rsidR="00042D39" w:rsidRDefault="00042D39">
      <w:r>
        <w:separator/>
      </w:r>
    </w:p>
  </w:footnote>
  <w:footnote w:type="continuationSeparator" w:id="0">
    <w:p w14:paraId="70E7A654" w14:textId="77777777" w:rsidR="00042D39" w:rsidRDefault="0004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AA3"/>
    <w:multiLevelType w:val="hybridMultilevel"/>
    <w:tmpl w:val="9C561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710"/>
    <w:multiLevelType w:val="hybridMultilevel"/>
    <w:tmpl w:val="93AEE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9A7"/>
    <w:multiLevelType w:val="hybridMultilevel"/>
    <w:tmpl w:val="E50CA474"/>
    <w:lvl w:ilvl="0" w:tplc="E438F0AE">
      <w:start w:val="3"/>
      <w:numFmt w:val="bullet"/>
      <w:lvlText w:val="-"/>
      <w:lvlJc w:val="left"/>
      <w:pPr>
        <w:ind w:left="644" w:hanging="360"/>
      </w:pPr>
      <w:rPr>
        <w:rFonts w:ascii="ArialMT" w:eastAsiaTheme="minorHAnsi" w:hAnsi="ArialMT" w:cs="Aria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003047"/>
    <w:multiLevelType w:val="hybridMultilevel"/>
    <w:tmpl w:val="DA523C1A"/>
    <w:lvl w:ilvl="0" w:tplc="B032E5B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781C"/>
    <w:multiLevelType w:val="hybridMultilevel"/>
    <w:tmpl w:val="26922C94"/>
    <w:lvl w:ilvl="0" w:tplc="A2426A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15F02"/>
    <w:multiLevelType w:val="hybridMultilevel"/>
    <w:tmpl w:val="5C80F630"/>
    <w:lvl w:ilvl="0" w:tplc="3E78D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E3EA5"/>
    <w:multiLevelType w:val="hybridMultilevel"/>
    <w:tmpl w:val="0F209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4B2"/>
    <w:multiLevelType w:val="hybridMultilevel"/>
    <w:tmpl w:val="B5646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588E"/>
    <w:multiLevelType w:val="hybridMultilevel"/>
    <w:tmpl w:val="2C98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81695"/>
    <w:multiLevelType w:val="hybridMultilevel"/>
    <w:tmpl w:val="049E7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75E6"/>
    <w:multiLevelType w:val="hybridMultilevel"/>
    <w:tmpl w:val="6FA22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781"/>
    <w:multiLevelType w:val="hybridMultilevel"/>
    <w:tmpl w:val="0CA0A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172C9"/>
    <w:multiLevelType w:val="hybridMultilevel"/>
    <w:tmpl w:val="1E585FAC"/>
    <w:lvl w:ilvl="0" w:tplc="392EF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0582">
    <w:abstractNumId w:val="1"/>
  </w:num>
  <w:num w:numId="2" w16cid:durableId="1859003481">
    <w:abstractNumId w:val="2"/>
  </w:num>
  <w:num w:numId="3" w16cid:durableId="1951937996">
    <w:abstractNumId w:val="12"/>
  </w:num>
  <w:num w:numId="4" w16cid:durableId="1428887761">
    <w:abstractNumId w:val="6"/>
  </w:num>
  <w:num w:numId="5" w16cid:durableId="1275944836">
    <w:abstractNumId w:val="4"/>
  </w:num>
  <w:num w:numId="6" w16cid:durableId="1767074295">
    <w:abstractNumId w:val="5"/>
  </w:num>
  <w:num w:numId="7" w16cid:durableId="1360742314">
    <w:abstractNumId w:val="0"/>
  </w:num>
  <w:num w:numId="8" w16cid:durableId="1739474613">
    <w:abstractNumId w:val="3"/>
  </w:num>
  <w:num w:numId="9" w16cid:durableId="1469862417">
    <w:abstractNumId w:val="10"/>
  </w:num>
  <w:num w:numId="10" w16cid:durableId="1427379827">
    <w:abstractNumId w:val="8"/>
  </w:num>
  <w:num w:numId="11" w16cid:durableId="1894845161">
    <w:abstractNumId w:val="7"/>
  </w:num>
  <w:num w:numId="12" w16cid:durableId="808859398">
    <w:abstractNumId w:val="9"/>
  </w:num>
  <w:num w:numId="13" w16cid:durableId="2070886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93"/>
    <w:rsid w:val="00000084"/>
    <w:rsid w:val="000072D3"/>
    <w:rsid w:val="00007F34"/>
    <w:rsid w:val="00011366"/>
    <w:rsid w:val="00023DF2"/>
    <w:rsid w:val="0002547B"/>
    <w:rsid w:val="000273E7"/>
    <w:rsid w:val="000312DE"/>
    <w:rsid w:val="000313B3"/>
    <w:rsid w:val="00032820"/>
    <w:rsid w:val="00033063"/>
    <w:rsid w:val="0003505A"/>
    <w:rsid w:val="00035F99"/>
    <w:rsid w:val="00036233"/>
    <w:rsid w:val="000402F9"/>
    <w:rsid w:val="00040E38"/>
    <w:rsid w:val="00042D39"/>
    <w:rsid w:val="0004354C"/>
    <w:rsid w:val="00044D5B"/>
    <w:rsid w:val="00054307"/>
    <w:rsid w:val="00056E38"/>
    <w:rsid w:val="0006033C"/>
    <w:rsid w:val="00060EDF"/>
    <w:rsid w:val="00061579"/>
    <w:rsid w:val="00062D6B"/>
    <w:rsid w:val="00071F44"/>
    <w:rsid w:val="00077DE2"/>
    <w:rsid w:val="00086B13"/>
    <w:rsid w:val="000A087F"/>
    <w:rsid w:val="000A470E"/>
    <w:rsid w:val="000A7288"/>
    <w:rsid w:val="000B503F"/>
    <w:rsid w:val="000B57BD"/>
    <w:rsid w:val="000C7776"/>
    <w:rsid w:val="000D0E2C"/>
    <w:rsid w:val="000E3ADD"/>
    <w:rsid w:val="000F3D66"/>
    <w:rsid w:val="000F6A49"/>
    <w:rsid w:val="001003EA"/>
    <w:rsid w:val="00101632"/>
    <w:rsid w:val="00101FB1"/>
    <w:rsid w:val="00102098"/>
    <w:rsid w:val="00110CD0"/>
    <w:rsid w:val="00120E28"/>
    <w:rsid w:val="00124B40"/>
    <w:rsid w:val="00143FA0"/>
    <w:rsid w:val="00146220"/>
    <w:rsid w:val="00146A9A"/>
    <w:rsid w:val="00146FF1"/>
    <w:rsid w:val="001558CC"/>
    <w:rsid w:val="00163440"/>
    <w:rsid w:val="0016508C"/>
    <w:rsid w:val="00165A51"/>
    <w:rsid w:val="00165E7C"/>
    <w:rsid w:val="0016690B"/>
    <w:rsid w:val="00173FD9"/>
    <w:rsid w:val="00176A1F"/>
    <w:rsid w:val="00180107"/>
    <w:rsid w:val="00185E23"/>
    <w:rsid w:val="001A514F"/>
    <w:rsid w:val="001A71F8"/>
    <w:rsid w:val="001B189C"/>
    <w:rsid w:val="001B3B44"/>
    <w:rsid w:val="001B46FF"/>
    <w:rsid w:val="001C0A6A"/>
    <w:rsid w:val="001C786C"/>
    <w:rsid w:val="001C7AB1"/>
    <w:rsid w:val="001E13C6"/>
    <w:rsid w:val="001E1565"/>
    <w:rsid w:val="001E6031"/>
    <w:rsid w:val="001F17B2"/>
    <w:rsid w:val="001F5658"/>
    <w:rsid w:val="001F5E07"/>
    <w:rsid w:val="001F6264"/>
    <w:rsid w:val="001F6FEF"/>
    <w:rsid w:val="00206C0F"/>
    <w:rsid w:val="0021160D"/>
    <w:rsid w:val="00212869"/>
    <w:rsid w:val="0021552E"/>
    <w:rsid w:val="00215D43"/>
    <w:rsid w:val="00227B4C"/>
    <w:rsid w:val="0023348D"/>
    <w:rsid w:val="00235518"/>
    <w:rsid w:val="002407B6"/>
    <w:rsid w:val="002505C0"/>
    <w:rsid w:val="00251336"/>
    <w:rsid w:val="002528E5"/>
    <w:rsid w:val="00253584"/>
    <w:rsid w:val="00256949"/>
    <w:rsid w:val="0026238B"/>
    <w:rsid w:val="002636CA"/>
    <w:rsid w:val="002748C9"/>
    <w:rsid w:val="00276E7A"/>
    <w:rsid w:val="00277B93"/>
    <w:rsid w:val="0028066C"/>
    <w:rsid w:val="00286583"/>
    <w:rsid w:val="002904E3"/>
    <w:rsid w:val="00292480"/>
    <w:rsid w:val="002A1A11"/>
    <w:rsid w:val="002A4A3B"/>
    <w:rsid w:val="002B4D6E"/>
    <w:rsid w:val="002B670B"/>
    <w:rsid w:val="002B676A"/>
    <w:rsid w:val="002C1F1B"/>
    <w:rsid w:val="002C27C2"/>
    <w:rsid w:val="002C51EE"/>
    <w:rsid w:val="002D1EF1"/>
    <w:rsid w:val="002D2B10"/>
    <w:rsid w:val="002D4D1D"/>
    <w:rsid w:val="002E198E"/>
    <w:rsid w:val="002E6DAF"/>
    <w:rsid w:val="002F0BBD"/>
    <w:rsid w:val="002F62A6"/>
    <w:rsid w:val="003051BD"/>
    <w:rsid w:val="00307B81"/>
    <w:rsid w:val="00315212"/>
    <w:rsid w:val="0032085C"/>
    <w:rsid w:val="00323138"/>
    <w:rsid w:val="0032583C"/>
    <w:rsid w:val="0033387C"/>
    <w:rsid w:val="003338E3"/>
    <w:rsid w:val="00340303"/>
    <w:rsid w:val="00340BC9"/>
    <w:rsid w:val="00340F71"/>
    <w:rsid w:val="0034174C"/>
    <w:rsid w:val="00343A0A"/>
    <w:rsid w:val="00350107"/>
    <w:rsid w:val="00355B46"/>
    <w:rsid w:val="00363FBF"/>
    <w:rsid w:val="003670E6"/>
    <w:rsid w:val="00394758"/>
    <w:rsid w:val="003A020A"/>
    <w:rsid w:val="003A152E"/>
    <w:rsid w:val="003A5883"/>
    <w:rsid w:val="003A634F"/>
    <w:rsid w:val="003B181D"/>
    <w:rsid w:val="003C38C6"/>
    <w:rsid w:val="003D6870"/>
    <w:rsid w:val="003E7E21"/>
    <w:rsid w:val="003F00ED"/>
    <w:rsid w:val="003F21DD"/>
    <w:rsid w:val="003F7648"/>
    <w:rsid w:val="0040031A"/>
    <w:rsid w:val="00402FFE"/>
    <w:rsid w:val="00403D19"/>
    <w:rsid w:val="00422550"/>
    <w:rsid w:val="00424213"/>
    <w:rsid w:val="00430436"/>
    <w:rsid w:val="004357CC"/>
    <w:rsid w:val="00452148"/>
    <w:rsid w:val="00454A70"/>
    <w:rsid w:val="00457494"/>
    <w:rsid w:val="004629CC"/>
    <w:rsid w:val="004668C3"/>
    <w:rsid w:val="00486625"/>
    <w:rsid w:val="004A336F"/>
    <w:rsid w:val="004A6719"/>
    <w:rsid w:val="004B0C24"/>
    <w:rsid w:val="004B6A3B"/>
    <w:rsid w:val="004D26F9"/>
    <w:rsid w:val="004E01CE"/>
    <w:rsid w:val="004F1945"/>
    <w:rsid w:val="004F2B16"/>
    <w:rsid w:val="004F791E"/>
    <w:rsid w:val="00507382"/>
    <w:rsid w:val="00507BC1"/>
    <w:rsid w:val="005106DA"/>
    <w:rsid w:val="005155B4"/>
    <w:rsid w:val="00515998"/>
    <w:rsid w:val="00517624"/>
    <w:rsid w:val="0052669C"/>
    <w:rsid w:val="005314F7"/>
    <w:rsid w:val="00533E1B"/>
    <w:rsid w:val="0053592B"/>
    <w:rsid w:val="005377ED"/>
    <w:rsid w:val="00541CA3"/>
    <w:rsid w:val="00543182"/>
    <w:rsid w:val="005458E0"/>
    <w:rsid w:val="00546014"/>
    <w:rsid w:val="00546B36"/>
    <w:rsid w:val="00552DBF"/>
    <w:rsid w:val="0055662E"/>
    <w:rsid w:val="00564623"/>
    <w:rsid w:val="005658FE"/>
    <w:rsid w:val="0057135D"/>
    <w:rsid w:val="0057407E"/>
    <w:rsid w:val="00574F6E"/>
    <w:rsid w:val="00576FE0"/>
    <w:rsid w:val="005814E5"/>
    <w:rsid w:val="005B0CFA"/>
    <w:rsid w:val="005B5131"/>
    <w:rsid w:val="005D4928"/>
    <w:rsid w:val="005E0F53"/>
    <w:rsid w:val="005F2417"/>
    <w:rsid w:val="005F7160"/>
    <w:rsid w:val="00600B8D"/>
    <w:rsid w:val="006034E9"/>
    <w:rsid w:val="00607387"/>
    <w:rsid w:val="00613B25"/>
    <w:rsid w:val="006149F6"/>
    <w:rsid w:val="00623C6C"/>
    <w:rsid w:val="006242E9"/>
    <w:rsid w:val="0062551D"/>
    <w:rsid w:val="00626951"/>
    <w:rsid w:val="0063005A"/>
    <w:rsid w:val="00630FDA"/>
    <w:rsid w:val="0065178B"/>
    <w:rsid w:val="00653847"/>
    <w:rsid w:val="00655B55"/>
    <w:rsid w:val="0066016A"/>
    <w:rsid w:val="0066149E"/>
    <w:rsid w:val="00666170"/>
    <w:rsid w:val="00686D38"/>
    <w:rsid w:val="00692D32"/>
    <w:rsid w:val="00694A2C"/>
    <w:rsid w:val="0069608C"/>
    <w:rsid w:val="0069753A"/>
    <w:rsid w:val="006A0DD9"/>
    <w:rsid w:val="006A2A97"/>
    <w:rsid w:val="006A6D55"/>
    <w:rsid w:val="006A7164"/>
    <w:rsid w:val="006B1EA6"/>
    <w:rsid w:val="006B5DDF"/>
    <w:rsid w:val="006B7FF6"/>
    <w:rsid w:val="006C7457"/>
    <w:rsid w:val="006D2831"/>
    <w:rsid w:val="006E4DCE"/>
    <w:rsid w:val="006E5761"/>
    <w:rsid w:val="00706BDA"/>
    <w:rsid w:val="00706C4B"/>
    <w:rsid w:val="00707153"/>
    <w:rsid w:val="007115C8"/>
    <w:rsid w:val="00712D3D"/>
    <w:rsid w:val="007225AD"/>
    <w:rsid w:val="007250D1"/>
    <w:rsid w:val="00725A5D"/>
    <w:rsid w:val="00741A8E"/>
    <w:rsid w:val="00743A72"/>
    <w:rsid w:val="00744DE6"/>
    <w:rsid w:val="0076367E"/>
    <w:rsid w:val="00765B4C"/>
    <w:rsid w:val="007672D7"/>
    <w:rsid w:val="00772E5B"/>
    <w:rsid w:val="00780278"/>
    <w:rsid w:val="0078528E"/>
    <w:rsid w:val="007A172D"/>
    <w:rsid w:val="007A3056"/>
    <w:rsid w:val="007B13C1"/>
    <w:rsid w:val="007B29FA"/>
    <w:rsid w:val="007B2A75"/>
    <w:rsid w:val="007C14B3"/>
    <w:rsid w:val="007C4FEF"/>
    <w:rsid w:val="007D103B"/>
    <w:rsid w:val="007D321E"/>
    <w:rsid w:val="007D6802"/>
    <w:rsid w:val="007E00A6"/>
    <w:rsid w:val="007E2A00"/>
    <w:rsid w:val="007E6207"/>
    <w:rsid w:val="007E773C"/>
    <w:rsid w:val="007F0FAE"/>
    <w:rsid w:val="007F122B"/>
    <w:rsid w:val="007F40EC"/>
    <w:rsid w:val="007F4FB1"/>
    <w:rsid w:val="007F55E2"/>
    <w:rsid w:val="00800E2D"/>
    <w:rsid w:val="00803395"/>
    <w:rsid w:val="0080410D"/>
    <w:rsid w:val="00806BB1"/>
    <w:rsid w:val="0081091B"/>
    <w:rsid w:val="0081400D"/>
    <w:rsid w:val="00827146"/>
    <w:rsid w:val="0084041C"/>
    <w:rsid w:val="00847396"/>
    <w:rsid w:val="00847BD4"/>
    <w:rsid w:val="0085180F"/>
    <w:rsid w:val="0085317B"/>
    <w:rsid w:val="00854C4E"/>
    <w:rsid w:val="00854E03"/>
    <w:rsid w:val="00855AE9"/>
    <w:rsid w:val="0086145C"/>
    <w:rsid w:val="00861EFB"/>
    <w:rsid w:val="00862EA3"/>
    <w:rsid w:val="008656C1"/>
    <w:rsid w:val="00866D72"/>
    <w:rsid w:val="008C48E5"/>
    <w:rsid w:val="008C4D5F"/>
    <w:rsid w:val="008C5165"/>
    <w:rsid w:val="008C5A73"/>
    <w:rsid w:val="008D2410"/>
    <w:rsid w:val="008E4388"/>
    <w:rsid w:val="008F53D6"/>
    <w:rsid w:val="009008A9"/>
    <w:rsid w:val="009009EB"/>
    <w:rsid w:val="00904939"/>
    <w:rsid w:val="00904CCC"/>
    <w:rsid w:val="00913151"/>
    <w:rsid w:val="00914B1B"/>
    <w:rsid w:val="009151B3"/>
    <w:rsid w:val="00917F1A"/>
    <w:rsid w:val="009233CF"/>
    <w:rsid w:val="009236A5"/>
    <w:rsid w:val="00924BF0"/>
    <w:rsid w:val="0093686D"/>
    <w:rsid w:val="00940C1E"/>
    <w:rsid w:val="00941953"/>
    <w:rsid w:val="009435A0"/>
    <w:rsid w:val="00947DB4"/>
    <w:rsid w:val="00951212"/>
    <w:rsid w:val="00951C09"/>
    <w:rsid w:val="0095347D"/>
    <w:rsid w:val="00954A5E"/>
    <w:rsid w:val="00955706"/>
    <w:rsid w:val="0095618D"/>
    <w:rsid w:val="0095673C"/>
    <w:rsid w:val="009572FC"/>
    <w:rsid w:val="00973800"/>
    <w:rsid w:val="009A5710"/>
    <w:rsid w:val="009A57C2"/>
    <w:rsid w:val="009C3FE6"/>
    <w:rsid w:val="009D0F31"/>
    <w:rsid w:val="009D5D43"/>
    <w:rsid w:val="009E6EE9"/>
    <w:rsid w:val="009F30A8"/>
    <w:rsid w:val="009F45F6"/>
    <w:rsid w:val="009F7EBA"/>
    <w:rsid w:val="00A0218B"/>
    <w:rsid w:val="00A026BE"/>
    <w:rsid w:val="00A07AC0"/>
    <w:rsid w:val="00A11DE9"/>
    <w:rsid w:val="00A172CF"/>
    <w:rsid w:val="00A25C61"/>
    <w:rsid w:val="00A32359"/>
    <w:rsid w:val="00A3266E"/>
    <w:rsid w:val="00A32A2D"/>
    <w:rsid w:val="00A365AF"/>
    <w:rsid w:val="00A42B96"/>
    <w:rsid w:val="00A42E4E"/>
    <w:rsid w:val="00A43047"/>
    <w:rsid w:val="00A50A1D"/>
    <w:rsid w:val="00A62C77"/>
    <w:rsid w:val="00A651E1"/>
    <w:rsid w:val="00A70289"/>
    <w:rsid w:val="00A7548F"/>
    <w:rsid w:val="00A83D1F"/>
    <w:rsid w:val="00A96880"/>
    <w:rsid w:val="00AA1AA1"/>
    <w:rsid w:val="00AA326A"/>
    <w:rsid w:val="00AA691C"/>
    <w:rsid w:val="00AB6A34"/>
    <w:rsid w:val="00AC791B"/>
    <w:rsid w:val="00AC7E1A"/>
    <w:rsid w:val="00AD2D87"/>
    <w:rsid w:val="00AD70EB"/>
    <w:rsid w:val="00AE00E4"/>
    <w:rsid w:val="00AF253A"/>
    <w:rsid w:val="00AF4847"/>
    <w:rsid w:val="00AF6298"/>
    <w:rsid w:val="00B012A8"/>
    <w:rsid w:val="00B01555"/>
    <w:rsid w:val="00B03613"/>
    <w:rsid w:val="00B17056"/>
    <w:rsid w:val="00B26D7B"/>
    <w:rsid w:val="00B3099A"/>
    <w:rsid w:val="00B34DDC"/>
    <w:rsid w:val="00B4150A"/>
    <w:rsid w:val="00B43C09"/>
    <w:rsid w:val="00B44609"/>
    <w:rsid w:val="00B456DC"/>
    <w:rsid w:val="00B463FD"/>
    <w:rsid w:val="00B505A6"/>
    <w:rsid w:val="00B56756"/>
    <w:rsid w:val="00B56AD6"/>
    <w:rsid w:val="00B62EAE"/>
    <w:rsid w:val="00B65A92"/>
    <w:rsid w:val="00B66587"/>
    <w:rsid w:val="00B673D5"/>
    <w:rsid w:val="00B70DFE"/>
    <w:rsid w:val="00B7319D"/>
    <w:rsid w:val="00B8332B"/>
    <w:rsid w:val="00B909D9"/>
    <w:rsid w:val="00B9281C"/>
    <w:rsid w:val="00B94A14"/>
    <w:rsid w:val="00B94CE2"/>
    <w:rsid w:val="00B9565B"/>
    <w:rsid w:val="00B964FD"/>
    <w:rsid w:val="00B97DF3"/>
    <w:rsid w:val="00BA0B20"/>
    <w:rsid w:val="00BA68ED"/>
    <w:rsid w:val="00BB0A66"/>
    <w:rsid w:val="00BB0B39"/>
    <w:rsid w:val="00BB48E8"/>
    <w:rsid w:val="00BB4EA9"/>
    <w:rsid w:val="00BB7A57"/>
    <w:rsid w:val="00BC28B9"/>
    <w:rsid w:val="00BC7C89"/>
    <w:rsid w:val="00BD2EE5"/>
    <w:rsid w:val="00BE2941"/>
    <w:rsid w:val="00BE6497"/>
    <w:rsid w:val="00BF28B5"/>
    <w:rsid w:val="00C00907"/>
    <w:rsid w:val="00C013E0"/>
    <w:rsid w:val="00C03674"/>
    <w:rsid w:val="00C072AD"/>
    <w:rsid w:val="00C1175F"/>
    <w:rsid w:val="00C204E0"/>
    <w:rsid w:val="00C21C97"/>
    <w:rsid w:val="00C4534E"/>
    <w:rsid w:val="00C51DEF"/>
    <w:rsid w:val="00C56416"/>
    <w:rsid w:val="00C61189"/>
    <w:rsid w:val="00C62788"/>
    <w:rsid w:val="00C64B7B"/>
    <w:rsid w:val="00C653CE"/>
    <w:rsid w:val="00C70549"/>
    <w:rsid w:val="00C72377"/>
    <w:rsid w:val="00C75F1A"/>
    <w:rsid w:val="00C80FEB"/>
    <w:rsid w:val="00C84F2A"/>
    <w:rsid w:val="00C858C5"/>
    <w:rsid w:val="00C91F6C"/>
    <w:rsid w:val="00C92904"/>
    <w:rsid w:val="00C95CCD"/>
    <w:rsid w:val="00C97AD8"/>
    <w:rsid w:val="00CA3E48"/>
    <w:rsid w:val="00CA3E8B"/>
    <w:rsid w:val="00CB026E"/>
    <w:rsid w:val="00CB293A"/>
    <w:rsid w:val="00CD228C"/>
    <w:rsid w:val="00CD35C4"/>
    <w:rsid w:val="00CD6EE5"/>
    <w:rsid w:val="00CE3259"/>
    <w:rsid w:val="00CE7D33"/>
    <w:rsid w:val="00CE7D91"/>
    <w:rsid w:val="00CF22AF"/>
    <w:rsid w:val="00CF7E08"/>
    <w:rsid w:val="00CF7E70"/>
    <w:rsid w:val="00D03ECC"/>
    <w:rsid w:val="00D166B4"/>
    <w:rsid w:val="00D16C0A"/>
    <w:rsid w:val="00D26ADA"/>
    <w:rsid w:val="00D32550"/>
    <w:rsid w:val="00D332C0"/>
    <w:rsid w:val="00D33880"/>
    <w:rsid w:val="00D375BC"/>
    <w:rsid w:val="00D464F2"/>
    <w:rsid w:val="00D56FDB"/>
    <w:rsid w:val="00D6132D"/>
    <w:rsid w:val="00D67CD9"/>
    <w:rsid w:val="00D718D4"/>
    <w:rsid w:val="00D73A82"/>
    <w:rsid w:val="00D775D7"/>
    <w:rsid w:val="00D873DD"/>
    <w:rsid w:val="00D95123"/>
    <w:rsid w:val="00DB02BA"/>
    <w:rsid w:val="00DB6E62"/>
    <w:rsid w:val="00DB6F43"/>
    <w:rsid w:val="00DC11B8"/>
    <w:rsid w:val="00DC1220"/>
    <w:rsid w:val="00DC23F2"/>
    <w:rsid w:val="00DD58FB"/>
    <w:rsid w:val="00DD6197"/>
    <w:rsid w:val="00DD67D6"/>
    <w:rsid w:val="00DD6D1B"/>
    <w:rsid w:val="00DD76DD"/>
    <w:rsid w:val="00DD7C6F"/>
    <w:rsid w:val="00DD7E64"/>
    <w:rsid w:val="00DE0128"/>
    <w:rsid w:val="00E01821"/>
    <w:rsid w:val="00E029C9"/>
    <w:rsid w:val="00E041CA"/>
    <w:rsid w:val="00E10777"/>
    <w:rsid w:val="00E170FA"/>
    <w:rsid w:val="00E26FEF"/>
    <w:rsid w:val="00E271AA"/>
    <w:rsid w:val="00E36ADD"/>
    <w:rsid w:val="00E36B35"/>
    <w:rsid w:val="00E43DF1"/>
    <w:rsid w:val="00E46365"/>
    <w:rsid w:val="00E520CA"/>
    <w:rsid w:val="00E53091"/>
    <w:rsid w:val="00E641E5"/>
    <w:rsid w:val="00E65084"/>
    <w:rsid w:val="00E72991"/>
    <w:rsid w:val="00E77EDA"/>
    <w:rsid w:val="00E8414B"/>
    <w:rsid w:val="00E9540B"/>
    <w:rsid w:val="00EB1638"/>
    <w:rsid w:val="00EB1BFE"/>
    <w:rsid w:val="00ED50FE"/>
    <w:rsid w:val="00ED790A"/>
    <w:rsid w:val="00EE212A"/>
    <w:rsid w:val="00EE5177"/>
    <w:rsid w:val="00EE7D29"/>
    <w:rsid w:val="00EE7F85"/>
    <w:rsid w:val="00EF2DB1"/>
    <w:rsid w:val="00EF714B"/>
    <w:rsid w:val="00EF769D"/>
    <w:rsid w:val="00F05639"/>
    <w:rsid w:val="00F11052"/>
    <w:rsid w:val="00F132D9"/>
    <w:rsid w:val="00F233DD"/>
    <w:rsid w:val="00F31A7C"/>
    <w:rsid w:val="00F339B9"/>
    <w:rsid w:val="00F33FF1"/>
    <w:rsid w:val="00F34930"/>
    <w:rsid w:val="00F37364"/>
    <w:rsid w:val="00F42BB4"/>
    <w:rsid w:val="00F50C53"/>
    <w:rsid w:val="00F539F7"/>
    <w:rsid w:val="00F571EA"/>
    <w:rsid w:val="00F601D2"/>
    <w:rsid w:val="00F65C4A"/>
    <w:rsid w:val="00F70F59"/>
    <w:rsid w:val="00F70F5A"/>
    <w:rsid w:val="00F72528"/>
    <w:rsid w:val="00F75184"/>
    <w:rsid w:val="00F7792C"/>
    <w:rsid w:val="00F832CB"/>
    <w:rsid w:val="00FA3720"/>
    <w:rsid w:val="00FB10A8"/>
    <w:rsid w:val="00FB177B"/>
    <w:rsid w:val="00FB4423"/>
    <w:rsid w:val="00FD05ED"/>
    <w:rsid w:val="00FD1532"/>
    <w:rsid w:val="00FD3D55"/>
    <w:rsid w:val="00FE0AA2"/>
    <w:rsid w:val="00FE0ECC"/>
    <w:rsid w:val="00FE2CE2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41FB"/>
  <w15:docId w15:val="{2000B58A-6D6C-4F2E-B59A-E5F392A9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5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77B9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B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277B93"/>
  </w:style>
  <w:style w:type="paragraph" w:styleId="Paragrafoelenco">
    <w:name w:val="List Paragraph"/>
    <w:basedOn w:val="Normale"/>
    <w:uiPriority w:val="34"/>
    <w:qFormat/>
    <w:rsid w:val="00277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F3493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5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31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65E7C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FD48-8386-498E-AA09-8F071ECC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Ciarniello Giuseppina</dc:creator>
  <cp:lastModifiedBy>Verusca Subicini</cp:lastModifiedBy>
  <cp:revision>2</cp:revision>
  <cp:lastPrinted>2023-11-23T12:39:00Z</cp:lastPrinted>
  <dcterms:created xsi:type="dcterms:W3CDTF">2023-12-01T07:45:00Z</dcterms:created>
  <dcterms:modified xsi:type="dcterms:W3CDTF">2023-12-01T07:45:00Z</dcterms:modified>
</cp:coreProperties>
</file>